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14" w:rsidRPr="00BE5184" w:rsidRDefault="00026414" w:rsidP="00026414">
      <w:pPr>
        <w:spacing w:before="100" w:beforeAutospacing="1" w:after="20" w:line="240" w:lineRule="auto"/>
        <w:jc w:val="both"/>
        <w:rPr>
          <w:rFonts w:eastAsia="Times New Roman" w:cs="Times New Roman"/>
          <w:b/>
          <w:bCs/>
          <w:sz w:val="24"/>
          <w:szCs w:val="24"/>
          <w:lang w:eastAsia="it-IT"/>
        </w:rPr>
      </w:pPr>
      <w:r w:rsidRPr="00BE5184">
        <w:rPr>
          <w:rFonts w:eastAsia="Times New Roman" w:cs="Times New Roman"/>
          <w:b/>
          <w:bCs/>
          <w:color w:val="000000"/>
          <w:sz w:val="24"/>
          <w:szCs w:val="24"/>
          <w:lang w:eastAsia="it-IT"/>
        </w:rPr>
        <w:t>D.M. 7 settembre 2017</w:t>
      </w:r>
      <w:r w:rsidRPr="00BE5184">
        <w:rPr>
          <w:rFonts w:eastAsia="Times New Roman" w:cs="Times New Roman"/>
          <w:b/>
          <w:bCs/>
          <w:sz w:val="24"/>
          <w:szCs w:val="24"/>
          <w:lang w:eastAsia="it-IT"/>
        </w:rPr>
        <w:t> </w:t>
      </w:r>
      <w:bookmarkStart w:id="0" w:name="1up"/>
      <w:r w:rsidRPr="00BE5184">
        <w:rPr>
          <w:rFonts w:eastAsia="Times New Roman" w:cs="Times New Roman"/>
          <w:b/>
          <w:bCs/>
          <w:sz w:val="24"/>
          <w:szCs w:val="24"/>
          <w:lang w:eastAsia="it-IT"/>
        </w:rPr>
        <w:fldChar w:fldCharType="begin"/>
      </w:r>
      <w:r w:rsidRPr="00BE5184">
        <w:rPr>
          <w:rFonts w:eastAsia="Times New Roman" w:cs="Times New Roman"/>
          <w:b/>
          <w:bCs/>
          <w:sz w:val="24"/>
          <w:szCs w:val="24"/>
          <w:lang w:eastAsia="it-IT"/>
        </w:rPr>
        <w:instrText xml:space="preserve"> HYPERLINK "http://www.pa.leggiditalia.it/rest?print=1" \l "1" </w:instrText>
      </w:r>
      <w:r w:rsidRPr="00BE5184">
        <w:rPr>
          <w:rFonts w:eastAsia="Times New Roman" w:cs="Times New Roman"/>
          <w:b/>
          <w:bCs/>
          <w:sz w:val="24"/>
          <w:szCs w:val="24"/>
          <w:lang w:eastAsia="it-IT"/>
        </w:rPr>
        <w:fldChar w:fldCharType="separate"/>
      </w:r>
      <w:r w:rsidRPr="00BE5184">
        <w:rPr>
          <w:rFonts w:eastAsia="Times New Roman" w:cs="Times New Roman"/>
          <w:color w:val="67AF34"/>
          <w:sz w:val="24"/>
          <w:szCs w:val="24"/>
          <w:u w:val="single"/>
          <w:lang w:eastAsia="it-IT"/>
        </w:rPr>
        <w:t>(1)</w:t>
      </w:r>
      <w:r w:rsidRPr="00BE5184">
        <w:rPr>
          <w:rFonts w:eastAsia="Times New Roman" w:cs="Times New Roman"/>
          <w:b/>
          <w:bCs/>
          <w:sz w:val="24"/>
          <w:szCs w:val="24"/>
          <w:lang w:eastAsia="it-IT"/>
        </w:rPr>
        <w:fldChar w:fldCharType="end"/>
      </w:r>
      <w:bookmarkEnd w:id="0"/>
      <w:r w:rsidRPr="00BE5184">
        <w:rPr>
          <w:rFonts w:eastAsia="Times New Roman" w:cs="Times New Roman"/>
          <w:b/>
          <w:bCs/>
          <w:sz w:val="24"/>
          <w:szCs w:val="24"/>
          <w:lang w:eastAsia="it-IT"/>
        </w:rPr>
        <w:t>.</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b/>
          <w:bCs/>
          <w:sz w:val="24"/>
          <w:szCs w:val="24"/>
          <w:lang w:eastAsia="it-IT"/>
        </w:rPr>
        <w:t>Disciplina dell'uso terapeutico di medicinale sottoposto a sperimentazione clinica. </w:t>
      </w:r>
      <w:bookmarkStart w:id="1" w:name="2up"/>
      <w:r w:rsidRPr="00BE5184">
        <w:rPr>
          <w:rFonts w:eastAsia="Times New Roman" w:cs="Times New Roman"/>
          <w:b/>
          <w:bCs/>
          <w:sz w:val="24"/>
          <w:szCs w:val="24"/>
          <w:lang w:eastAsia="it-IT"/>
        </w:rPr>
        <w:fldChar w:fldCharType="begin"/>
      </w:r>
      <w:r w:rsidRPr="00BE5184">
        <w:rPr>
          <w:rFonts w:eastAsia="Times New Roman" w:cs="Times New Roman"/>
          <w:b/>
          <w:bCs/>
          <w:sz w:val="24"/>
          <w:szCs w:val="24"/>
          <w:lang w:eastAsia="it-IT"/>
        </w:rPr>
        <w:instrText xml:space="preserve"> HYPERLINK "http://www.pa.leggiditalia.it/rest?print=1" \l "2" </w:instrText>
      </w:r>
      <w:r w:rsidRPr="00BE5184">
        <w:rPr>
          <w:rFonts w:eastAsia="Times New Roman" w:cs="Times New Roman"/>
          <w:b/>
          <w:bCs/>
          <w:sz w:val="24"/>
          <w:szCs w:val="24"/>
          <w:lang w:eastAsia="it-IT"/>
        </w:rPr>
        <w:fldChar w:fldCharType="separate"/>
      </w:r>
      <w:r w:rsidRPr="00BE5184">
        <w:rPr>
          <w:rFonts w:eastAsia="Times New Roman" w:cs="Times New Roman"/>
          <w:color w:val="67AF34"/>
          <w:sz w:val="24"/>
          <w:szCs w:val="24"/>
          <w:u w:val="single"/>
          <w:lang w:eastAsia="it-IT"/>
        </w:rPr>
        <w:t>(2)</w:t>
      </w:r>
      <w:r w:rsidRPr="00BE5184">
        <w:rPr>
          <w:rFonts w:eastAsia="Times New Roman" w:cs="Times New Roman"/>
          <w:b/>
          <w:bCs/>
          <w:sz w:val="24"/>
          <w:szCs w:val="24"/>
          <w:lang w:eastAsia="it-IT"/>
        </w:rPr>
        <w:fldChar w:fldCharType="end"/>
      </w:r>
      <w:bookmarkEnd w:id="1"/>
    </w:p>
    <w:p w:rsidR="00026414" w:rsidRPr="00BE5184" w:rsidRDefault="00BE5184" w:rsidP="00026414">
      <w:pPr>
        <w:spacing w:before="200" w:after="200" w:line="240" w:lineRule="auto"/>
        <w:rPr>
          <w:rFonts w:eastAsia="Times New Roman" w:cs="Times New Roman"/>
          <w:sz w:val="24"/>
          <w:szCs w:val="24"/>
          <w:lang w:eastAsia="it-IT"/>
        </w:rPr>
      </w:pPr>
      <w:r w:rsidRPr="00BE5184">
        <w:rPr>
          <w:rFonts w:eastAsia="Times New Roman" w:cs="Times New Roman"/>
          <w:sz w:val="24"/>
          <w:szCs w:val="24"/>
          <w:lang w:eastAsia="it-IT"/>
        </w:rPr>
        <w:pict>
          <v:rect id="_x0000_i1025" style="width:225pt;height:.5pt" o:hrpct="0" o:hrstd="t" o:hr="t" fillcolor="#a0a0a0" stroked="f"/>
        </w:pict>
      </w:r>
    </w:p>
    <w:bookmarkStart w:id="2" w:name="1"/>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fldChar w:fldCharType="begin"/>
      </w:r>
      <w:r w:rsidRPr="00BE5184">
        <w:rPr>
          <w:rFonts w:eastAsia="Times New Roman" w:cs="Times New Roman"/>
          <w:sz w:val="24"/>
          <w:szCs w:val="24"/>
          <w:lang w:eastAsia="it-IT"/>
        </w:rPr>
        <w:instrText xml:space="preserve"> HYPERLINK "http://www.pa.leggiditalia.it/rest?print=1" \l "1up" </w:instrText>
      </w:r>
      <w:r w:rsidRPr="00BE5184">
        <w:rPr>
          <w:rFonts w:eastAsia="Times New Roman" w:cs="Times New Roman"/>
          <w:sz w:val="24"/>
          <w:szCs w:val="24"/>
          <w:lang w:eastAsia="it-IT"/>
        </w:rPr>
        <w:fldChar w:fldCharType="separate"/>
      </w:r>
      <w:r w:rsidRPr="00BE5184">
        <w:rPr>
          <w:rFonts w:eastAsia="Times New Roman" w:cs="Times New Roman"/>
          <w:color w:val="67AF34"/>
          <w:sz w:val="24"/>
          <w:szCs w:val="24"/>
          <w:u w:val="single"/>
          <w:lang w:eastAsia="it-IT"/>
        </w:rPr>
        <w:t>(1)</w:t>
      </w:r>
      <w:r w:rsidRPr="00BE5184">
        <w:rPr>
          <w:rFonts w:eastAsia="Times New Roman" w:cs="Times New Roman"/>
          <w:sz w:val="24"/>
          <w:szCs w:val="24"/>
          <w:lang w:eastAsia="it-IT"/>
        </w:rPr>
        <w:fldChar w:fldCharType="end"/>
      </w:r>
      <w:bookmarkEnd w:id="2"/>
      <w:r w:rsidRPr="00BE5184">
        <w:rPr>
          <w:rFonts w:eastAsia="Times New Roman" w:cs="Times New Roman"/>
          <w:sz w:val="24"/>
          <w:szCs w:val="24"/>
          <w:lang w:eastAsia="it-IT"/>
        </w:rPr>
        <w:t xml:space="preserve"> Pubblicato nella </w:t>
      </w:r>
      <w:proofErr w:type="spellStart"/>
      <w:r w:rsidRPr="00BE5184">
        <w:rPr>
          <w:rFonts w:eastAsia="Times New Roman" w:cs="Times New Roman"/>
          <w:sz w:val="24"/>
          <w:szCs w:val="24"/>
          <w:lang w:eastAsia="it-IT"/>
        </w:rPr>
        <w:t>Gazz</w:t>
      </w:r>
      <w:proofErr w:type="spellEnd"/>
      <w:r w:rsidRPr="00BE5184">
        <w:rPr>
          <w:rFonts w:eastAsia="Times New Roman" w:cs="Times New Roman"/>
          <w:sz w:val="24"/>
          <w:szCs w:val="24"/>
          <w:lang w:eastAsia="it-IT"/>
        </w:rPr>
        <w:t>. Uff. 2 novembre 2017, n. 256.</w:t>
      </w:r>
    </w:p>
    <w:bookmarkStart w:id="3" w:name="2"/>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fldChar w:fldCharType="begin"/>
      </w:r>
      <w:r w:rsidRPr="00BE5184">
        <w:rPr>
          <w:rFonts w:eastAsia="Times New Roman" w:cs="Times New Roman"/>
          <w:sz w:val="24"/>
          <w:szCs w:val="24"/>
          <w:lang w:eastAsia="it-IT"/>
        </w:rPr>
        <w:instrText xml:space="preserve"> HYPERLINK "http://www.pa.leggiditalia.it/rest?print=1" \l "2up" </w:instrText>
      </w:r>
      <w:r w:rsidRPr="00BE5184">
        <w:rPr>
          <w:rFonts w:eastAsia="Times New Roman" w:cs="Times New Roman"/>
          <w:sz w:val="24"/>
          <w:szCs w:val="24"/>
          <w:lang w:eastAsia="it-IT"/>
        </w:rPr>
        <w:fldChar w:fldCharType="separate"/>
      </w:r>
      <w:r w:rsidRPr="00BE5184">
        <w:rPr>
          <w:rFonts w:eastAsia="Times New Roman" w:cs="Times New Roman"/>
          <w:color w:val="67AF34"/>
          <w:sz w:val="24"/>
          <w:szCs w:val="24"/>
          <w:u w:val="single"/>
          <w:lang w:eastAsia="it-IT"/>
        </w:rPr>
        <w:t>(2)</w:t>
      </w:r>
      <w:r w:rsidRPr="00BE5184">
        <w:rPr>
          <w:rFonts w:eastAsia="Times New Roman" w:cs="Times New Roman"/>
          <w:sz w:val="24"/>
          <w:szCs w:val="24"/>
          <w:lang w:eastAsia="it-IT"/>
        </w:rPr>
        <w:fldChar w:fldCharType="end"/>
      </w:r>
      <w:bookmarkEnd w:id="3"/>
      <w:r w:rsidRPr="00BE5184">
        <w:rPr>
          <w:rFonts w:eastAsia="Times New Roman" w:cs="Times New Roman"/>
          <w:sz w:val="24"/>
          <w:szCs w:val="24"/>
          <w:lang w:eastAsia="it-IT"/>
        </w:rPr>
        <w:t> Emanato dal Ministero della salute.</w:t>
      </w:r>
    </w:p>
    <w:p w:rsidR="00026414" w:rsidRPr="00BE5184" w:rsidRDefault="00026414" w:rsidP="00026414">
      <w:pPr>
        <w:spacing w:after="0" w:line="240" w:lineRule="auto"/>
        <w:rPr>
          <w:rFonts w:eastAsia="Times New Roman" w:cs="Times New Roman"/>
          <w:sz w:val="24"/>
          <w:szCs w:val="24"/>
          <w:lang w:eastAsia="it-IT"/>
        </w:rPr>
      </w:pPr>
      <w:r w:rsidRPr="00BE5184">
        <w:rPr>
          <w:rFonts w:eastAsia="Times New Roman" w:cs="Times New Roman"/>
          <w:color w:val="000000"/>
          <w:sz w:val="24"/>
          <w:szCs w:val="24"/>
          <w:lang w:eastAsia="it-IT"/>
        </w:rPr>
        <w:br/>
      </w:r>
    </w:p>
    <w:p w:rsidR="00026414" w:rsidRPr="00BE5184" w:rsidRDefault="00026414" w:rsidP="00026414">
      <w:pPr>
        <w:spacing w:before="100" w:beforeAutospacing="1" w:after="20" w:line="240" w:lineRule="auto"/>
        <w:jc w:val="center"/>
        <w:rPr>
          <w:rFonts w:eastAsia="Times New Roman" w:cs="Times New Roman"/>
          <w:sz w:val="24"/>
          <w:szCs w:val="24"/>
          <w:lang w:eastAsia="it-IT"/>
        </w:rPr>
      </w:pPr>
      <w:r w:rsidRPr="00BE5184">
        <w:rPr>
          <w:rFonts w:eastAsia="Times New Roman" w:cs="Times New Roman"/>
          <w:sz w:val="24"/>
          <w:szCs w:val="24"/>
          <w:lang w:eastAsia="it-IT"/>
        </w:rPr>
        <w:t>IL MINISTRO DELLA SALUTE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4" w:anchor="id=10LX0000402398ART0,__m=document" w:history="1">
        <w:r w:rsidRPr="00BE5184">
          <w:rPr>
            <w:rFonts w:eastAsia="Times New Roman" w:cs="Times New Roman"/>
            <w:i/>
            <w:iCs/>
            <w:color w:val="67AF34"/>
            <w:sz w:val="24"/>
            <w:szCs w:val="24"/>
            <w:u w:val="single"/>
            <w:lang w:eastAsia="it-IT"/>
          </w:rPr>
          <w:t>decreto legislativo 24 aprile 2006, n. 219</w:t>
        </w:r>
      </w:hyperlink>
      <w:r w:rsidRPr="00BE5184">
        <w:rPr>
          <w:rFonts w:eastAsia="Times New Roman" w:cs="Times New Roman"/>
          <w:sz w:val="24"/>
          <w:szCs w:val="24"/>
          <w:lang w:eastAsia="it-IT"/>
        </w:rPr>
        <w:t>, recante «Attuazione della </w:t>
      </w:r>
      <w:hyperlink r:id="rId5" w:anchor="id=10LX0000208320ART0,__m=document" w:history="1">
        <w:r w:rsidRPr="00BE5184">
          <w:rPr>
            <w:rFonts w:eastAsia="Times New Roman" w:cs="Times New Roman"/>
            <w:i/>
            <w:iCs/>
            <w:color w:val="67AF34"/>
            <w:sz w:val="24"/>
            <w:szCs w:val="24"/>
            <w:u w:val="single"/>
            <w:lang w:eastAsia="it-IT"/>
          </w:rPr>
          <w:t>direttiva 2001/83/CE</w:t>
        </w:r>
      </w:hyperlink>
      <w:r w:rsidRPr="00BE5184">
        <w:rPr>
          <w:rFonts w:eastAsia="Times New Roman" w:cs="Times New Roman"/>
          <w:sz w:val="24"/>
          <w:szCs w:val="24"/>
          <w:lang w:eastAsia="it-IT"/>
        </w:rPr>
        <w:t> (e successive direttive di modifica) relative ad un codice comunitario concernente i medicinali per uso umano, nonché la </w:t>
      </w:r>
      <w:hyperlink r:id="rId6" w:anchor="id=10LX0000212093ART0,__m=document" w:history="1">
        <w:r w:rsidRPr="00BE5184">
          <w:rPr>
            <w:rFonts w:eastAsia="Times New Roman" w:cs="Times New Roman"/>
            <w:i/>
            <w:iCs/>
            <w:color w:val="67AF34"/>
            <w:sz w:val="24"/>
            <w:szCs w:val="24"/>
            <w:u w:val="single"/>
            <w:lang w:eastAsia="it-IT"/>
          </w:rPr>
          <w:t>direttiva 2003/94/CE</w:t>
        </w:r>
      </w:hyperlink>
      <w:r w:rsidRPr="00BE5184">
        <w:rPr>
          <w:rFonts w:eastAsia="Times New Roman" w:cs="Times New Roman"/>
          <w:sz w:val="24"/>
          <w:szCs w:val="24"/>
          <w:lang w:eastAsia="it-IT"/>
        </w:rPr>
        <w:t>», e successive modificazioni, e, in particolare, l'art. 158, comma 10, che prevede che con decreto del Ministro della salute, da adottarsi entro centoventi giorni dalla data di entrata in vigore del presente decreto, tenuto conto anche delle linee guida EMEA per l'uso compassionevole dei medicinali, sono stabiliti i criteri e le modalità per l'uso di medicinali privi di AIC in Italia, incluso l'utilizzo al di fuori del riassunto delle caratteristiche del prodotto autorizzato nel paese di provenienza e l'uso compassionevole di medicinali non ancora registrati. Fino alla data di entrata in vigore del predetto decreto ministeriale, resta in vigore il </w:t>
      </w:r>
      <w:hyperlink r:id="rId7" w:anchor="id=10LX0000156861ART0,__m=document" w:history="1">
        <w:r w:rsidRPr="00BE5184">
          <w:rPr>
            <w:rFonts w:eastAsia="Times New Roman" w:cs="Times New Roman"/>
            <w:i/>
            <w:iCs/>
            <w:color w:val="67AF34"/>
            <w:sz w:val="24"/>
            <w:szCs w:val="24"/>
            <w:u w:val="single"/>
            <w:lang w:eastAsia="it-IT"/>
          </w:rPr>
          <w:t>decreto ministeriale 8 maggio 2003</w:t>
        </w:r>
      </w:hyperlink>
      <w:r w:rsidRPr="00BE5184">
        <w:rPr>
          <w:rFonts w:eastAsia="Times New Roman" w:cs="Times New Roman"/>
          <w:sz w:val="24"/>
          <w:szCs w:val="24"/>
          <w:lang w:eastAsia="it-IT"/>
        </w:rPr>
        <w:t>, pubblicato nella Gazzetta Ufficiale della Repubblica italiana n. 173 del 28 luglio 2003;</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8" w:anchor="id=10LX0000120821ART0,__m=document" w:history="1">
        <w:r w:rsidRPr="00BE5184">
          <w:rPr>
            <w:rFonts w:eastAsia="Times New Roman" w:cs="Times New Roman"/>
            <w:i/>
            <w:iCs/>
            <w:color w:val="67AF34"/>
            <w:sz w:val="24"/>
            <w:szCs w:val="24"/>
            <w:u w:val="single"/>
            <w:lang w:eastAsia="it-IT"/>
          </w:rPr>
          <w:t>decreto del Ministro della sanità 11 febbraio 1997</w:t>
        </w:r>
      </w:hyperlink>
      <w:r w:rsidRPr="00BE5184">
        <w:rPr>
          <w:rFonts w:eastAsia="Times New Roman" w:cs="Times New Roman"/>
          <w:sz w:val="24"/>
          <w:szCs w:val="24"/>
          <w:lang w:eastAsia="it-IT"/>
        </w:rPr>
        <w:t>, recante «Modalità di importazione di specialità medicinali registrate all'estero», pubblicato nella Gazzetta Ufficiale 27 marzo 1997, n. 72, e successive modificazioni;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9" w:anchor="id=10LX0000106485ART0,__m=document" w:history="1">
        <w:r w:rsidRPr="00BE5184">
          <w:rPr>
            <w:rFonts w:eastAsia="Times New Roman" w:cs="Times New Roman"/>
            <w:i/>
            <w:iCs/>
            <w:color w:val="67AF34"/>
            <w:sz w:val="24"/>
            <w:szCs w:val="24"/>
            <w:u w:val="single"/>
            <w:lang w:eastAsia="it-IT"/>
          </w:rPr>
          <w:t>decreto del Ministro della sanità 15 luglio 1997</w:t>
        </w:r>
      </w:hyperlink>
      <w:r w:rsidRPr="00BE5184">
        <w:rPr>
          <w:rFonts w:eastAsia="Times New Roman" w:cs="Times New Roman"/>
          <w:sz w:val="24"/>
          <w:szCs w:val="24"/>
          <w:lang w:eastAsia="it-IT"/>
        </w:rPr>
        <w:t>, recante «Recepimento delle linee guida dell'UE di Buona pratica clinica per l'esecuzione delle sperimentazioni cliniche dei medicinali», pubblicato nella Gazzetta Ufficiale 18 agosto 1997 n. 191, supplemento ordinario n. 162;</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10" w:anchor="id=10LX0000120553ART0,__m=document" w:history="1">
        <w:r w:rsidRPr="00BE5184">
          <w:rPr>
            <w:rFonts w:eastAsia="Times New Roman" w:cs="Times New Roman"/>
            <w:i/>
            <w:iCs/>
            <w:color w:val="67AF34"/>
            <w:sz w:val="24"/>
            <w:szCs w:val="24"/>
            <w:u w:val="single"/>
            <w:lang w:eastAsia="it-IT"/>
          </w:rPr>
          <w:t>decreto-legge 17 febbraio 1998, n. 23</w:t>
        </w:r>
      </w:hyperlink>
      <w:r w:rsidRPr="00BE5184">
        <w:rPr>
          <w:rFonts w:eastAsia="Times New Roman" w:cs="Times New Roman"/>
          <w:sz w:val="24"/>
          <w:szCs w:val="24"/>
          <w:lang w:eastAsia="it-IT"/>
        </w:rPr>
        <w:t>, recante «Disposizioni urgenti in materia di sperimentazioni cliniche in campo oncologico e altre misure in materia sanitaria», convertito, con modificazioni, dalla </w:t>
      </w:r>
      <w:hyperlink r:id="rId11" w:anchor="id=10LX0000124852ART0,__m=document" w:history="1">
        <w:r w:rsidRPr="00BE5184">
          <w:rPr>
            <w:rFonts w:eastAsia="Times New Roman" w:cs="Times New Roman"/>
            <w:i/>
            <w:iCs/>
            <w:color w:val="67AF34"/>
            <w:sz w:val="24"/>
            <w:szCs w:val="24"/>
            <w:u w:val="single"/>
            <w:lang w:eastAsia="it-IT"/>
          </w:rPr>
          <w:t>legge 8 aprile 1998, n. 94</w:t>
        </w:r>
      </w:hyperlink>
      <w:r w:rsidRPr="00BE5184">
        <w:rPr>
          <w:rFonts w:eastAsia="Times New Roman" w:cs="Times New Roman"/>
          <w:sz w:val="24"/>
          <w:szCs w:val="24"/>
          <w:lang w:eastAsia="it-IT"/>
        </w:rPr>
        <w:t>;</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12" w:anchor="id=10LX0000205023ART0,__m=document" w:history="1">
        <w:r w:rsidRPr="00BE5184">
          <w:rPr>
            <w:rFonts w:eastAsia="Times New Roman" w:cs="Times New Roman"/>
            <w:i/>
            <w:iCs/>
            <w:color w:val="67AF34"/>
            <w:sz w:val="24"/>
            <w:szCs w:val="24"/>
            <w:u w:val="single"/>
            <w:lang w:eastAsia="it-IT"/>
          </w:rPr>
          <w:t>regolamento (CE) n. 141/2000 del Parlamento europeo e del Consiglio del 16 dicembre 1999</w:t>
        </w:r>
      </w:hyperlink>
      <w:r w:rsidRPr="00BE5184">
        <w:rPr>
          <w:rFonts w:eastAsia="Times New Roman" w:cs="Times New Roman"/>
          <w:sz w:val="24"/>
          <w:szCs w:val="24"/>
          <w:lang w:eastAsia="it-IT"/>
        </w:rPr>
        <w:t>, concernente i medicinali orfani;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13" w:anchor="id=10LX0000146814ART0,__m=document" w:history="1">
        <w:r w:rsidRPr="00BE5184">
          <w:rPr>
            <w:rFonts w:eastAsia="Times New Roman" w:cs="Times New Roman"/>
            <w:i/>
            <w:iCs/>
            <w:color w:val="67AF34"/>
            <w:sz w:val="24"/>
            <w:szCs w:val="24"/>
            <w:u w:val="single"/>
            <w:lang w:eastAsia="it-IT"/>
          </w:rPr>
          <w:t>decreto del Ministro della salute 18 maggio 2001, n. 279</w:t>
        </w:r>
      </w:hyperlink>
      <w:r w:rsidRPr="00BE5184">
        <w:rPr>
          <w:rFonts w:eastAsia="Times New Roman" w:cs="Times New Roman"/>
          <w:sz w:val="24"/>
          <w:szCs w:val="24"/>
          <w:lang w:eastAsia="it-IT"/>
        </w:rPr>
        <w:t>, recante «Regolamento di istituzione della rete nazionale delle malattie rare e di esenzione dalla partecipazione al costo delle relative prestazioni sanitarie, ai sensi dell'</w:t>
      </w:r>
      <w:hyperlink r:id="rId14" w:anchor="id=10LX0000110034ART6,__m=document" w:history="1">
        <w:r w:rsidRPr="00BE5184">
          <w:rPr>
            <w:rFonts w:eastAsia="Times New Roman" w:cs="Times New Roman"/>
            <w:i/>
            <w:iCs/>
            <w:color w:val="67AF34"/>
            <w:sz w:val="24"/>
            <w:szCs w:val="24"/>
            <w:u w:val="single"/>
            <w:lang w:eastAsia="it-IT"/>
          </w:rPr>
          <w:t>art. 5, comma 1 lettera b) del decreto legislativo 29 aprile 1998, n. 124</w:t>
        </w:r>
      </w:hyperlink>
      <w:r w:rsidRPr="00BE5184">
        <w:rPr>
          <w:rFonts w:eastAsia="Times New Roman" w:cs="Times New Roman"/>
          <w:sz w:val="24"/>
          <w:szCs w:val="24"/>
          <w:lang w:eastAsia="it-IT"/>
        </w:rPr>
        <w:t>», pubblicato nella Gazzetta Ufficiale 12 luglio 2001 n. 160, supplemento ordinario n. 180/L;</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15" w:anchor="id=10LX0000156861ART0,__m=document" w:history="1">
        <w:r w:rsidRPr="00BE5184">
          <w:rPr>
            <w:rFonts w:eastAsia="Times New Roman" w:cs="Times New Roman"/>
            <w:i/>
            <w:iCs/>
            <w:color w:val="67AF34"/>
            <w:sz w:val="24"/>
            <w:szCs w:val="24"/>
            <w:u w:val="single"/>
            <w:lang w:eastAsia="it-IT"/>
          </w:rPr>
          <w:t>decreto del Ministro della salute 8 maggio 2003</w:t>
        </w:r>
      </w:hyperlink>
      <w:r w:rsidRPr="00BE5184">
        <w:rPr>
          <w:rFonts w:eastAsia="Times New Roman" w:cs="Times New Roman"/>
          <w:sz w:val="24"/>
          <w:szCs w:val="24"/>
          <w:lang w:eastAsia="it-IT"/>
        </w:rPr>
        <w:t>, recante «Uso terapeutico di medicinale sottoposto a sperimentazione clinica», pubblicato nella Gazzetta Ufficiale 28 luglio 2003, n. 173;</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16" w:anchor="id=10LX0000157085ART0,__m=document" w:history="1">
        <w:r w:rsidRPr="00BE5184">
          <w:rPr>
            <w:rFonts w:eastAsia="Times New Roman" w:cs="Times New Roman"/>
            <w:i/>
            <w:iCs/>
            <w:color w:val="67AF34"/>
            <w:sz w:val="24"/>
            <w:szCs w:val="24"/>
            <w:u w:val="single"/>
            <w:lang w:eastAsia="it-IT"/>
          </w:rPr>
          <w:t>decreto legislativo 24 giugno 2003, n. 211</w:t>
        </w:r>
      </w:hyperlink>
      <w:r w:rsidRPr="00BE5184">
        <w:rPr>
          <w:rFonts w:eastAsia="Times New Roman" w:cs="Times New Roman"/>
          <w:sz w:val="24"/>
          <w:szCs w:val="24"/>
          <w:lang w:eastAsia="it-IT"/>
        </w:rPr>
        <w:t>, recante «Attuazione della </w:t>
      </w:r>
      <w:hyperlink r:id="rId17" w:anchor="id=10LX0000207346ART0,__m=document" w:history="1">
        <w:r w:rsidRPr="00BE5184">
          <w:rPr>
            <w:rFonts w:eastAsia="Times New Roman" w:cs="Times New Roman"/>
            <w:i/>
            <w:iCs/>
            <w:color w:val="67AF34"/>
            <w:sz w:val="24"/>
            <w:szCs w:val="24"/>
            <w:u w:val="single"/>
            <w:lang w:eastAsia="it-IT"/>
          </w:rPr>
          <w:t>direttiva 2001/20/CE</w:t>
        </w:r>
      </w:hyperlink>
      <w:r w:rsidRPr="00BE5184">
        <w:rPr>
          <w:rFonts w:eastAsia="Times New Roman" w:cs="Times New Roman"/>
          <w:sz w:val="24"/>
          <w:szCs w:val="24"/>
          <w:lang w:eastAsia="it-IT"/>
        </w:rPr>
        <w:t> relativa all'applicazione della buona pratica clinica nell'esecuzione delle sperimentazioni cliniche di medicinali per uso clinico», e, in particolare, l'</w:t>
      </w:r>
      <w:hyperlink r:id="rId18" w:anchor="id=10LX0000157085ART14,__m=document" w:history="1">
        <w:r w:rsidRPr="00BE5184">
          <w:rPr>
            <w:rFonts w:eastAsia="Times New Roman" w:cs="Times New Roman"/>
            <w:i/>
            <w:iCs/>
            <w:color w:val="67AF34"/>
            <w:sz w:val="24"/>
            <w:szCs w:val="24"/>
            <w:u w:val="single"/>
            <w:lang w:eastAsia="it-IT"/>
          </w:rPr>
          <w:t>art. 13</w:t>
        </w:r>
      </w:hyperlink>
      <w:r w:rsidRPr="00BE5184">
        <w:rPr>
          <w:rFonts w:eastAsia="Times New Roman" w:cs="Times New Roman"/>
          <w:sz w:val="24"/>
          <w:szCs w:val="24"/>
          <w:lang w:eastAsia="it-IT"/>
        </w:rPr>
        <w:t>, e successive modificazioni;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lastRenderedPageBreak/>
        <w:t>Visto il </w:t>
      </w:r>
      <w:hyperlink r:id="rId19" w:anchor="id=10LX0000213464ART0,__m=document" w:history="1">
        <w:r w:rsidRPr="00BE5184">
          <w:rPr>
            <w:rFonts w:eastAsia="Times New Roman" w:cs="Times New Roman"/>
            <w:i/>
            <w:iCs/>
            <w:color w:val="67AF34"/>
            <w:sz w:val="24"/>
            <w:szCs w:val="24"/>
            <w:u w:val="single"/>
            <w:lang w:eastAsia="it-IT"/>
          </w:rPr>
          <w:t>regolamento (CE) n. 726/2004 del Parlamento europeo e del Consiglio del 31 marzo 2004</w:t>
        </w:r>
      </w:hyperlink>
      <w:r w:rsidRPr="00BE5184">
        <w:rPr>
          <w:rFonts w:eastAsia="Times New Roman" w:cs="Times New Roman"/>
          <w:sz w:val="24"/>
          <w:szCs w:val="24"/>
          <w:lang w:eastAsia="it-IT"/>
        </w:rPr>
        <w:t>, che istituisce procedure comunitarie per l'autorizzazione e la sorveglianza dei medicinali per uso umano e veterinario, e che istituisce l'Agenzia europea per i medicinali, e, in particolare, l'</w:t>
      </w:r>
      <w:hyperlink r:id="rId20" w:anchor="id=10LX0000213464ART84,__m=document" w:history="1">
        <w:r w:rsidRPr="00BE5184">
          <w:rPr>
            <w:rFonts w:eastAsia="Times New Roman" w:cs="Times New Roman"/>
            <w:i/>
            <w:iCs/>
            <w:color w:val="67AF34"/>
            <w:sz w:val="24"/>
            <w:szCs w:val="24"/>
            <w:u w:val="single"/>
            <w:lang w:eastAsia="it-IT"/>
          </w:rPr>
          <w:t>art. 83</w:t>
        </w:r>
      </w:hyperlink>
      <w:r w:rsidRPr="00BE5184">
        <w:rPr>
          <w:rFonts w:eastAsia="Times New Roman" w:cs="Times New Roman"/>
          <w:sz w:val="24"/>
          <w:szCs w:val="24"/>
          <w:lang w:eastAsia="it-IT"/>
        </w:rPr>
        <w:t>;</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Viste le linee guida EMA «</w:t>
      </w:r>
      <w:proofErr w:type="spellStart"/>
      <w:r w:rsidRPr="00BE5184">
        <w:rPr>
          <w:rFonts w:eastAsia="Times New Roman" w:cs="Times New Roman"/>
          <w:sz w:val="24"/>
          <w:szCs w:val="24"/>
          <w:lang w:eastAsia="it-IT"/>
        </w:rPr>
        <w:t>Guideline</w:t>
      </w:r>
      <w:proofErr w:type="spellEnd"/>
      <w:r w:rsidRPr="00BE5184">
        <w:rPr>
          <w:rFonts w:eastAsia="Times New Roman" w:cs="Times New Roman"/>
          <w:sz w:val="24"/>
          <w:szCs w:val="24"/>
          <w:lang w:eastAsia="it-IT"/>
        </w:rPr>
        <w:t xml:space="preserve"> on compassionate use of </w:t>
      </w:r>
      <w:proofErr w:type="spellStart"/>
      <w:r w:rsidRPr="00BE5184">
        <w:rPr>
          <w:rFonts w:eastAsia="Times New Roman" w:cs="Times New Roman"/>
          <w:sz w:val="24"/>
          <w:szCs w:val="24"/>
          <w:lang w:eastAsia="it-IT"/>
        </w:rPr>
        <w:t>medicinal</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products</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pursuant</w:t>
      </w:r>
      <w:proofErr w:type="spellEnd"/>
      <w:r w:rsidRPr="00BE5184">
        <w:rPr>
          <w:rFonts w:eastAsia="Times New Roman" w:cs="Times New Roman"/>
          <w:sz w:val="24"/>
          <w:szCs w:val="24"/>
          <w:lang w:eastAsia="it-IT"/>
        </w:rPr>
        <w:t xml:space="preserve"> to </w:t>
      </w:r>
      <w:proofErr w:type="spellStart"/>
      <w:r w:rsidRPr="00BE5184">
        <w:rPr>
          <w:rFonts w:eastAsia="Times New Roman" w:cs="Times New Roman"/>
          <w:sz w:val="24"/>
          <w:szCs w:val="24"/>
          <w:lang w:eastAsia="it-IT"/>
        </w:rPr>
        <w:t>article</w:t>
      </w:r>
      <w:proofErr w:type="spellEnd"/>
      <w:r w:rsidRPr="00BE5184">
        <w:rPr>
          <w:rFonts w:eastAsia="Times New Roman" w:cs="Times New Roman"/>
          <w:sz w:val="24"/>
          <w:szCs w:val="24"/>
          <w:lang w:eastAsia="it-IT"/>
        </w:rPr>
        <w:t xml:space="preserve"> 83 of </w:t>
      </w:r>
      <w:proofErr w:type="spellStart"/>
      <w:r w:rsidRPr="00BE5184">
        <w:rPr>
          <w:rFonts w:eastAsia="Times New Roman" w:cs="Times New Roman"/>
          <w:sz w:val="24"/>
          <w:szCs w:val="24"/>
          <w:lang w:eastAsia="it-IT"/>
        </w:rPr>
        <w:t>Regulation</w:t>
      </w:r>
      <w:proofErr w:type="spellEnd"/>
      <w:r w:rsidRPr="00BE5184">
        <w:rPr>
          <w:rFonts w:eastAsia="Times New Roman" w:cs="Times New Roman"/>
          <w:sz w:val="24"/>
          <w:szCs w:val="24"/>
          <w:lang w:eastAsia="it-IT"/>
        </w:rPr>
        <w:t xml:space="preserve"> (EC) N. 72612004» (doc. </w:t>
      </w:r>
      <w:proofErr w:type="spellStart"/>
      <w:r w:rsidRPr="00BE5184">
        <w:rPr>
          <w:rFonts w:eastAsia="Times New Roman" w:cs="Times New Roman"/>
          <w:sz w:val="24"/>
          <w:szCs w:val="24"/>
          <w:lang w:eastAsia="it-IT"/>
        </w:rPr>
        <w:t>ref</w:t>
      </w:r>
      <w:proofErr w:type="spellEnd"/>
      <w:r w:rsidRPr="00BE5184">
        <w:rPr>
          <w:rFonts w:eastAsia="Times New Roman" w:cs="Times New Roman"/>
          <w:sz w:val="24"/>
          <w:szCs w:val="24"/>
          <w:lang w:eastAsia="it-IT"/>
        </w:rPr>
        <w:t>: EMEA/27170/2006), adottate per facilitare e accrescere nei pazienti l'accesso ai programmi di uso compassionevole nell'Unione europea, oltre che aumentare la trasparenza in termini di trattamenti disponibili, e favorire un comune approccio riguardante le condizioni d'uso, di distribuzione e la popolazione target per l'uso compassionevole di medicinali non ancora autorizzati;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21" w:anchor="id=10LX0000302651ART0,__m=document" w:history="1">
        <w:r w:rsidRPr="00BE5184">
          <w:rPr>
            <w:rFonts w:eastAsia="Times New Roman" w:cs="Times New Roman"/>
            <w:i/>
            <w:iCs/>
            <w:color w:val="67AF34"/>
            <w:sz w:val="24"/>
            <w:szCs w:val="24"/>
            <w:u w:val="single"/>
            <w:lang w:eastAsia="it-IT"/>
          </w:rPr>
          <w:t>regolamento (CE) n. 507/2006 della Commissione del 29 marzo 2006</w:t>
        </w:r>
      </w:hyperlink>
      <w:r w:rsidRPr="00BE5184">
        <w:rPr>
          <w:rFonts w:eastAsia="Times New Roman" w:cs="Times New Roman"/>
          <w:sz w:val="24"/>
          <w:szCs w:val="24"/>
          <w:lang w:eastAsia="it-IT"/>
        </w:rPr>
        <w:t>, relativo all'autorizzazione all'immissione in commercio condizionata dei medicinali per uso umano che rientrano nel campo di applicazione del </w:t>
      </w:r>
      <w:hyperlink r:id="rId22" w:anchor="id=10LX0000213464ART0,__m=document" w:history="1">
        <w:r w:rsidRPr="00BE5184">
          <w:rPr>
            <w:rFonts w:eastAsia="Times New Roman" w:cs="Times New Roman"/>
            <w:i/>
            <w:iCs/>
            <w:color w:val="67AF34"/>
            <w:sz w:val="24"/>
            <w:szCs w:val="24"/>
            <w:u w:val="single"/>
            <w:lang w:eastAsia="it-IT"/>
          </w:rPr>
          <w:t>regolamento (CE) n. 726/2004 del Parlamento europeo e del Consiglio</w:t>
        </w:r>
      </w:hyperlink>
      <w:r w:rsidRPr="00BE5184">
        <w:rPr>
          <w:rFonts w:eastAsia="Times New Roman" w:cs="Times New Roman"/>
          <w:sz w:val="24"/>
          <w:szCs w:val="24"/>
          <w:lang w:eastAsia="it-IT"/>
        </w:rPr>
        <w:t>;</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Vista la </w:t>
      </w:r>
      <w:hyperlink r:id="rId23" w:anchor="id=10LX0000488506ART0,__m=document" w:history="1">
        <w:r w:rsidRPr="00BE5184">
          <w:rPr>
            <w:rFonts w:eastAsia="Times New Roman" w:cs="Times New Roman"/>
            <w:i/>
            <w:iCs/>
            <w:color w:val="67AF34"/>
            <w:sz w:val="24"/>
            <w:szCs w:val="24"/>
            <w:u w:val="single"/>
            <w:lang w:eastAsia="it-IT"/>
          </w:rPr>
          <w:t>legge 27 dicembre 2006, n. 296</w:t>
        </w:r>
      </w:hyperlink>
      <w:r w:rsidRPr="00BE5184">
        <w:rPr>
          <w:rFonts w:eastAsia="Times New Roman" w:cs="Times New Roman"/>
          <w:sz w:val="24"/>
          <w:szCs w:val="24"/>
          <w:lang w:eastAsia="it-IT"/>
        </w:rPr>
        <w:t>, recante «Disposizioni per la formazione del bilancio annuale e pluriennale dello Stato (legge finanziaria 2007)» e, in particolare, l'</w:t>
      </w:r>
      <w:hyperlink r:id="rId24" w:anchor="id=10LX0000488506ART795,__m=document" w:history="1">
        <w:r w:rsidRPr="00BE5184">
          <w:rPr>
            <w:rFonts w:eastAsia="Times New Roman" w:cs="Times New Roman"/>
            <w:i/>
            <w:iCs/>
            <w:color w:val="67AF34"/>
            <w:sz w:val="24"/>
            <w:szCs w:val="24"/>
            <w:u w:val="single"/>
            <w:lang w:eastAsia="it-IT"/>
          </w:rPr>
          <w:t>art. 1, comma 796, lettera z)</w:t>
        </w:r>
      </w:hyperlink>
      <w:r w:rsidRPr="00BE5184">
        <w:rPr>
          <w:rFonts w:eastAsia="Times New Roman" w:cs="Times New Roman"/>
          <w:sz w:val="24"/>
          <w:szCs w:val="24"/>
          <w:lang w:eastAsia="it-IT"/>
        </w:rPr>
        <w:t>, che impedisce il ricorso a un medicinale di cui non è autorizzato il commercio («off-</w:t>
      </w:r>
      <w:proofErr w:type="spellStart"/>
      <w:r w:rsidRPr="00BE5184">
        <w:rPr>
          <w:rFonts w:eastAsia="Times New Roman" w:cs="Times New Roman"/>
          <w:sz w:val="24"/>
          <w:szCs w:val="24"/>
          <w:lang w:eastAsia="it-IT"/>
        </w:rPr>
        <w:t>label</w:t>
      </w:r>
      <w:proofErr w:type="spellEnd"/>
      <w:r w:rsidRPr="00BE5184">
        <w:rPr>
          <w:rFonts w:eastAsia="Times New Roman" w:cs="Times New Roman"/>
          <w:sz w:val="24"/>
          <w:szCs w:val="24"/>
          <w:lang w:eastAsia="it-IT"/>
        </w:rPr>
        <w:t>») a carico del Servizio sanitario nazionale con carattere diffuso e sistematico;</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25" w:anchor="id=10LX0000503181ART0,__m=document" w:history="1">
        <w:r w:rsidRPr="00BE5184">
          <w:rPr>
            <w:rFonts w:eastAsia="Times New Roman" w:cs="Times New Roman"/>
            <w:i/>
            <w:iCs/>
            <w:color w:val="67AF34"/>
            <w:sz w:val="24"/>
            <w:szCs w:val="24"/>
            <w:u w:val="single"/>
            <w:lang w:eastAsia="it-IT"/>
          </w:rPr>
          <w:t>decreto legislativo 6 novembre 2007, n. 200</w:t>
        </w:r>
      </w:hyperlink>
      <w:r w:rsidRPr="00BE5184">
        <w:rPr>
          <w:rFonts w:eastAsia="Times New Roman" w:cs="Times New Roman"/>
          <w:sz w:val="24"/>
          <w:szCs w:val="24"/>
          <w:lang w:eastAsia="it-IT"/>
        </w:rPr>
        <w:t>, recante «Attuazione della </w:t>
      </w:r>
      <w:hyperlink r:id="rId26" w:anchor="id=10LX0000215289ART0,__m=document" w:history="1">
        <w:r w:rsidRPr="00BE5184">
          <w:rPr>
            <w:rFonts w:eastAsia="Times New Roman" w:cs="Times New Roman"/>
            <w:i/>
            <w:iCs/>
            <w:color w:val="67AF34"/>
            <w:sz w:val="24"/>
            <w:szCs w:val="24"/>
            <w:u w:val="single"/>
            <w:lang w:eastAsia="it-IT"/>
          </w:rPr>
          <w:t>direttiva 2005/28/CE</w:t>
        </w:r>
      </w:hyperlink>
      <w:r w:rsidRPr="00BE5184">
        <w:rPr>
          <w:rFonts w:eastAsia="Times New Roman" w:cs="Times New Roman"/>
          <w:sz w:val="24"/>
          <w:szCs w:val="24"/>
          <w:lang w:eastAsia="it-IT"/>
        </w:rPr>
        <w:t> recante principi e linee guida dettagliate per la buona pratica clinica relativa ai medicinali in fase di sperimentazione a uso umano, nonché requisiti per l'autorizzazione alla fabbricazione o importazione di tali medicinali» e, in particolare, il capo III;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27" w:anchor="id=10LX0000564041ART0,__m=document" w:history="1">
        <w:r w:rsidRPr="00BE5184">
          <w:rPr>
            <w:rFonts w:eastAsia="Times New Roman" w:cs="Times New Roman"/>
            <w:i/>
            <w:iCs/>
            <w:color w:val="67AF34"/>
            <w:sz w:val="24"/>
            <w:szCs w:val="24"/>
            <w:u w:val="single"/>
            <w:lang w:eastAsia="it-IT"/>
          </w:rPr>
          <w:t>regolamento (CE) n. 1394/2007 del Parlamento europeo e del Consiglio del 13 novembre 2007</w:t>
        </w:r>
      </w:hyperlink>
      <w:r w:rsidRPr="00BE5184">
        <w:rPr>
          <w:rFonts w:eastAsia="Times New Roman" w:cs="Times New Roman"/>
          <w:sz w:val="24"/>
          <w:szCs w:val="24"/>
          <w:lang w:eastAsia="it-IT"/>
        </w:rPr>
        <w:t> sui medicinali per terapie avanzate recante modifica della </w:t>
      </w:r>
      <w:hyperlink r:id="rId28" w:anchor="id=10LX0000208320ART0,__m=document" w:history="1">
        <w:r w:rsidRPr="00BE5184">
          <w:rPr>
            <w:rFonts w:eastAsia="Times New Roman" w:cs="Times New Roman"/>
            <w:i/>
            <w:iCs/>
            <w:color w:val="67AF34"/>
            <w:sz w:val="24"/>
            <w:szCs w:val="24"/>
            <w:u w:val="single"/>
            <w:lang w:eastAsia="it-IT"/>
          </w:rPr>
          <w:t>direttiva 2001 /83/CE</w:t>
        </w:r>
      </w:hyperlink>
      <w:r w:rsidRPr="00BE5184">
        <w:rPr>
          <w:rFonts w:eastAsia="Times New Roman" w:cs="Times New Roman"/>
          <w:sz w:val="24"/>
          <w:szCs w:val="24"/>
          <w:lang w:eastAsia="it-IT"/>
        </w:rPr>
        <w:t> e del </w:t>
      </w:r>
      <w:hyperlink r:id="rId29" w:anchor="id=10LX0000213464ART0,__m=document" w:history="1">
        <w:r w:rsidRPr="00BE5184">
          <w:rPr>
            <w:rFonts w:eastAsia="Times New Roman" w:cs="Times New Roman"/>
            <w:i/>
            <w:iCs/>
            <w:color w:val="67AF34"/>
            <w:sz w:val="24"/>
            <w:szCs w:val="24"/>
            <w:u w:val="single"/>
            <w:lang w:eastAsia="it-IT"/>
          </w:rPr>
          <w:t>regolamento CE n. 726/2004</w:t>
        </w:r>
      </w:hyperlink>
      <w:r w:rsidRPr="00BE5184">
        <w:rPr>
          <w:rFonts w:eastAsia="Times New Roman" w:cs="Times New Roman"/>
          <w:sz w:val="24"/>
          <w:szCs w:val="24"/>
          <w:lang w:eastAsia="it-IT"/>
        </w:rPr>
        <w:t>;</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30" w:anchor="id=10LX0000774046ART0,__m=document" w:history="1">
        <w:r w:rsidRPr="00BE5184">
          <w:rPr>
            <w:rFonts w:eastAsia="Times New Roman" w:cs="Times New Roman"/>
            <w:i/>
            <w:iCs/>
            <w:color w:val="67AF34"/>
            <w:sz w:val="24"/>
            <w:szCs w:val="24"/>
            <w:u w:val="single"/>
            <w:lang w:eastAsia="it-IT"/>
          </w:rPr>
          <w:t>decreto-legge 13 settembre 2012, n. 158</w:t>
        </w:r>
      </w:hyperlink>
      <w:r w:rsidRPr="00BE5184">
        <w:rPr>
          <w:rFonts w:eastAsia="Times New Roman" w:cs="Times New Roman"/>
          <w:sz w:val="24"/>
          <w:szCs w:val="24"/>
          <w:lang w:eastAsia="it-IT"/>
        </w:rPr>
        <w:t>, convertito, con modificazioni, dalla </w:t>
      </w:r>
      <w:hyperlink r:id="rId31" w:anchor="id=10LX0000776329ART0,__m=document" w:history="1">
        <w:r w:rsidRPr="00BE5184">
          <w:rPr>
            <w:rFonts w:eastAsia="Times New Roman" w:cs="Times New Roman"/>
            <w:i/>
            <w:iCs/>
            <w:color w:val="67AF34"/>
            <w:sz w:val="24"/>
            <w:szCs w:val="24"/>
            <w:u w:val="single"/>
            <w:lang w:eastAsia="it-IT"/>
          </w:rPr>
          <w:t>legge 8 novembre 2012, n. 189</w:t>
        </w:r>
      </w:hyperlink>
      <w:r w:rsidRPr="00BE5184">
        <w:rPr>
          <w:rFonts w:eastAsia="Times New Roman" w:cs="Times New Roman"/>
          <w:sz w:val="24"/>
          <w:szCs w:val="24"/>
          <w:lang w:eastAsia="it-IT"/>
        </w:rPr>
        <w:t>, recante «Disposizioni urgenti per promuovere lo sviluppo del Paese mediante un più alto livello di tutela della salute» e, in particolare, l'</w:t>
      </w:r>
      <w:hyperlink r:id="rId32" w:anchor="id=10LX0000774046ART24,__m=document" w:history="1">
        <w:r w:rsidRPr="00BE5184">
          <w:rPr>
            <w:rFonts w:eastAsia="Times New Roman" w:cs="Times New Roman"/>
            <w:i/>
            <w:iCs/>
            <w:color w:val="67AF34"/>
            <w:sz w:val="24"/>
            <w:szCs w:val="24"/>
            <w:u w:val="single"/>
            <w:lang w:eastAsia="it-IT"/>
          </w:rPr>
          <w:t>art. 12, comma 5</w:t>
        </w:r>
      </w:hyperlink>
      <w:r w:rsidRPr="00BE5184">
        <w:rPr>
          <w:rFonts w:eastAsia="Times New Roman" w:cs="Times New Roman"/>
          <w:sz w:val="24"/>
          <w:szCs w:val="24"/>
          <w:lang w:eastAsia="it-IT"/>
        </w:rPr>
        <w:t>;</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33" w:anchor="id=10LX0000783802ART0,__m=document" w:history="1">
        <w:r w:rsidRPr="00BE5184">
          <w:rPr>
            <w:rFonts w:eastAsia="Times New Roman" w:cs="Times New Roman"/>
            <w:i/>
            <w:iCs/>
            <w:color w:val="67AF34"/>
            <w:sz w:val="24"/>
            <w:szCs w:val="24"/>
            <w:u w:val="single"/>
            <w:lang w:eastAsia="it-IT"/>
          </w:rPr>
          <w:t>decreto del Ministero della salute 8 febbraio 2013</w:t>
        </w:r>
      </w:hyperlink>
      <w:r w:rsidRPr="00BE5184">
        <w:rPr>
          <w:rFonts w:eastAsia="Times New Roman" w:cs="Times New Roman"/>
          <w:sz w:val="24"/>
          <w:szCs w:val="24"/>
          <w:lang w:eastAsia="it-IT"/>
        </w:rPr>
        <w:t>, recante «Criteri per la composizione e il funzionamento dei comitati etici», pubblicato nella Gazzetta Ufficiale 24 aprile 2013, n. 96;</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34" w:anchor="id=10LX0000810754ART0,__m=document" w:history="1">
        <w:r w:rsidRPr="00BE5184">
          <w:rPr>
            <w:rFonts w:eastAsia="Times New Roman" w:cs="Times New Roman"/>
            <w:i/>
            <w:iCs/>
            <w:color w:val="67AF34"/>
            <w:sz w:val="24"/>
            <w:szCs w:val="24"/>
            <w:u w:val="single"/>
            <w:lang w:eastAsia="it-IT"/>
          </w:rPr>
          <w:t>decreto del Ministro della salute 16 gennaio 2015</w:t>
        </w:r>
      </w:hyperlink>
      <w:r w:rsidRPr="00BE5184">
        <w:rPr>
          <w:rFonts w:eastAsia="Times New Roman" w:cs="Times New Roman"/>
          <w:sz w:val="24"/>
          <w:szCs w:val="24"/>
          <w:lang w:eastAsia="it-IT"/>
        </w:rPr>
        <w:t>, recante «Disposizioni in materia di medicinali per terapie avanzate preparati su base non ripetitiva», pubblicato nella Gazzetta Ufficiale 9 marzo 2015 n. 56;</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35" w:anchor="id=10LX0000815424ART0,__m=document" w:history="1">
        <w:r w:rsidRPr="00BE5184">
          <w:rPr>
            <w:rFonts w:eastAsia="Times New Roman" w:cs="Times New Roman"/>
            <w:i/>
            <w:iCs/>
            <w:color w:val="67AF34"/>
            <w:sz w:val="24"/>
            <w:szCs w:val="24"/>
            <w:u w:val="single"/>
            <w:lang w:eastAsia="it-IT"/>
          </w:rPr>
          <w:t>decreto del Ministro della salute 30 aprile 2015</w:t>
        </w:r>
      </w:hyperlink>
      <w:r w:rsidRPr="00BE5184">
        <w:rPr>
          <w:rFonts w:eastAsia="Times New Roman" w:cs="Times New Roman"/>
          <w:sz w:val="24"/>
          <w:szCs w:val="24"/>
          <w:lang w:eastAsia="it-IT"/>
        </w:rPr>
        <w:t>, recante «Procedure operative e soluzioni tecniche per un'efficace azione di farmacovigilanza adottate ai sensi del </w:t>
      </w:r>
      <w:hyperlink r:id="rId36" w:anchor="id=10LX0000778684ART13,__m=document" w:history="1">
        <w:r w:rsidRPr="00BE5184">
          <w:rPr>
            <w:rFonts w:eastAsia="Times New Roman" w:cs="Times New Roman"/>
            <w:i/>
            <w:iCs/>
            <w:color w:val="67AF34"/>
            <w:sz w:val="24"/>
            <w:szCs w:val="24"/>
            <w:u w:val="single"/>
            <w:lang w:eastAsia="it-IT"/>
          </w:rPr>
          <w:t>comma 344 dell'art. 1 della legge 24 dicembre 2012, n. 228</w:t>
        </w:r>
      </w:hyperlink>
      <w:r w:rsidRPr="00BE5184">
        <w:rPr>
          <w:rFonts w:eastAsia="Times New Roman" w:cs="Times New Roman"/>
          <w:sz w:val="24"/>
          <w:szCs w:val="24"/>
          <w:lang w:eastAsia="it-IT"/>
        </w:rPr>
        <w:t>(legge di stabilità 2013)», pubblicato nella Gazzetta Ufficiale 23 giugno 2015 n. 143;</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Visto il </w:t>
      </w:r>
      <w:hyperlink r:id="rId37" w:anchor="id=10LX0000846239ART0,__m=document" w:history="1">
        <w:r w:rsidRPr="00BE5184">
          <w:rPr>
            <w:rFonts w:eastAsia="Times New Roman" w:cs="Times New Roman"/>
            <w:i/>
            <w:iCs/>
            <w:color w:val="67AF34"/>
            <w:sz w:val="24"/>
            <w:szCs w:val="24"/>
            <w:u w:val="single"/>
            <w:lang w:eastAsia="it-IT"/>
          </w:rPr>
          <w:t>decreto del Presidente del Consiglio dei ministri del 12 gennaio 2017</w:t>
        </w:r>
      </w:hyperlink>
      <w:r w:rsidRPr="00BE5184">
        <w:rPr>
          <w:rFonts w:eastAsia="Times New Roman" w:cs="Times New Roman"/>
          <w:sz w:val="24"/>
          <w:szCs w:val="24"/>
          <w:lang w:eastAsia="it-IT"/>
        </w:rPr>
        <w:t> recante «Definizione e aggiornamento dei livelli essenziali di assistenza, di cui all'</w:t>
      </w:r>
      <w:hyperlink r:id="rId38" w:anchor="id=10LX0000110042ART2,__m=document" w:history="1">
        <w:r w:rsidRPr="00BE5184">
          <w:rPr>
            <w:rFonts w:eastAsia="Times New Roman" w:cs="Times New Roman"/>
            <w:i/>
            <w:iCs/>
            <w:color w:val="67AF34"/>
            <w:sz w:val="24"/>
            <w:szCs w:val="24"/>
            <w:u w:val="single"/>
            <w:lang w:eastAsia="it-IT"/>
          </w:rPr>
          <w:t>art. 1, comma 7, del decreto legislativo 30 dicembre 1992, n. 502</w:t>
        </w:r>
      </w:hyperlink>
      <w:r w:rsidRPr="00BE5184">
        <w:rPr>
          <w:rFonts w:eastAsia="Times New Roman" w:cs="Times New Roman"/>
          <w:sz w:val="24"/>
          <w:szCs w:val="24"/>
          <w:lang w:eastAsia="it-IT"/>
        </w:rPr>
        <w:t>», pubblicato nella Gazzetta Ufficiale n. 65 del 18 marzo 2017, supplemento ordinario n. 15;</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lastRenderedPageBreak/>
        <w:t>Considerato che vengono anche proposti protocolli definiti «</w:t>
      </w:r>
      <w:proofErr w:type="spellStart"/>
      <w:r w:rsidRPr="00BE5184">
        <w:rPr>
          <w:rFonts w:eastAsia="Times New Roman" w:cs="Times New Roman"/>
          <w:sz w:val="24"/>
          <w:szCs w:val="24"/>
          <w:lang w:eastAsia="it-IT"/>
        </w:rPr>
        <w:t>expanded</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access</w:t>
      </w:r>
      <w:proofErr w:type="spellEnd"/>
      <w:r w:rsidRPr="00BE5184">
        <w:rPr>
          <w:rFonts w:eastAsia="Times New Roman" w:cs="Times New Roman"/>
          <w:sz w:val="24"/>
          <w:szCs w:val="24"/>
          <w:lang w:eastAsia="it-IT"/>
        </w:rPr>
        <w:t>», ossia «protocolli di accesso allargato», i quali seguono tuttavia la logica degli studi clinici interventistici, onde assicurare al paziente l'accesso a terapie farmacologiche sperimentali, quando non esista valida alternativa terapeutica;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Considerata l'opportunità di adottare procedure che garantiscano al paziente l'accesso rapido a terapie farmacologiche sperimentali e di fornire indicazioni relative all'uso dei medicinali sottoposti a sperimentazione clinica;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Considerato che per le malattie rare e i tumori rari è opportuno tenere in debita considerazione la difficoltà di condurre studi adeguatamente potenziati secondo le metodologie convenzionali;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Considerate le opportunità offerte dal progresso scientifico, con particolare riguardo alla comprensione dei meccanismi genetici e molecolari coinvolti nella patogenesi di malattie rare e tumori rari ed alla conseguente possibilità di intervento attraverso opportune terapie farmacologiche;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Considerata la necessità di garantire che i pazienti con malattie rare o tumori rari siano trattati in centri clinici che garantiscano adeguatezza dei percorsi diagnostici e terapeutici;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Considerato che il Gruppo tecnico di lavoro sui tumori rari, istituito presso il Ministero della salute con decreto del 14 febbraio 2013, ha concluso il proprio mandato individuando, tra gli obiettivi strategici, quello di rivedere i requisiti relativi alle evidenze scientifiche necessarie e sufficienti ad accedere all'uso compassionevole per i tumori rari;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Considerato che il sopra citato Gruppo tecnico di lavoro, in base agli obiettivi ad esso assegnati, ha indicato criteri e metodi per la classificazione nosologica dei tumori rari;</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Ritenuto, pertanto, di adottare il decreto di cui all'</w:t>
      </w:r>
      <w:hyperlink r:id="rId39" w:anchor="id=10LX0000402398ART159,__m=document" w:history="1">
        <w:r w:rsidRPr="00BE5184">
          <w:rPr>
            <w:rFonts w:eastAsia="Times New Roman" w:cs="Times New Roman"/>
            <w:i/>
            <w:iCs/>
            <w:color w:val="67AF34"/>
            <w:sz w:val="24"/>
            <w:szCs w:val="24"/>
            <w:u w:val="single"/>
            <w:lang w:eastAsia="it-IT"/>
          </w:rPr>
          <w:t>art. 158, comma 10, del citato decreto legislativo 24 aprile 2006, n. 219</w:t>
        </w:r>
      </w:hyperlink>
      <w:r w:rsidRPr="00BE5184">
        <w:rPr>
          <w:rFonts w:eastAsia="Times New Roman" w:cs="Times New Roman"/>
          <w:sz w:val="24"/>
          <w:szCs w:val="24"/>
          <w:lang w:eastAsia="it-IT"/>
        </w:rPr>
        <w:t>, stabilendo i criteri e le modalità per l'uso compassionevole di medicinali non ancora registrati;</w:t>
      </w:r>
    </w:p>
    <w:p w:rsidR="00026414" w:rsidRPr="00BE5184" w:rsidRDefault="00026414" w:rsidP="00BE5184">
      <w:pPr>
        <w:spacing w:before="100" w:beforeAutospacing="1" w:after="20" w:line="240" w:lineRule="auto"/>
        <w:jc w:val="center"/>
        <w:rPr>
          <w:rFonts w:eastAsia="Times New Roman" w:cs="Times New Roman"/>
          <w:sz w:val="24"/>
          <w:szCs w:val="24"/>
          <w:lang w:eastAsia="it-IT"/>
        </w:rPr>
      </w:pPr>
      <w:r w:rsidRPr="00BE5184">
        <w:rPr>
          <w:rFonts w:eastAsia="Times New Roman" w:cs="Times New Roman"/>
          <w:sz w:val="24"/>
          <w:szCs w:val="24"/>
          <w:lang w:eastAsia="it-IT"/>
        </w:rPr>
        <w:t>Decreta:</w:t>
      </w:r>
      <w:bookmarkStart w:id="4" w:name="_GoBack"/>
      <w:bookmarkEnd w:id="4"/>
      <w:r w:rsidRPr="00BE5184">
        <w:rPr>
          <w:rFonts w:eastAsia="Times New Roman" w:cs="Times New Roman"/>
          <w:color w:val="000000"/>
          <w:sz w:val="24"/>
          <w:szCs w:val="24"/>
          <w:lang w:eastAsia="it-IT"/>
        </w:rPr>
        <w:br/>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b/>
          <w:bCs/>
          <w:sz w:val="24"/>
          <w:szCs w:val="24"/>
          <w:lang w:eastAsia="it-IT"/>
        </w:rPr>
        <w:t>Art. 1.</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Ai fini del presente decreto si intende per:</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a) uso terapeutico di medicinale sottoposto a sperimentazione clinica (uso c.d. compassionevole): la fornitura a titolo gratuito da parte dell'Azienda farmaceutica di:</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1) medicinali non ancora autorizzati, sottoposti a sperimentazione clinica e prodotti in stabilimenti farmaceutici o importati secondo le modalità autorizzative e i requisiti previsti dalla normativa vigente;</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2) medicinali provvisti dell'autorizzazione all'immissione in commercio, ai sensi dell'</w:t>
      </w:r>
      <w:hyperlink r:id="rId40" w:anchor="id=10LX0000402398ART7,__m=document" w:history="1">
        <w:r w:rsidRPr="00BE5184">
          <w:rPr>
            <w:rFonts w:eastAsia="Times New Roman" w:cs="Times New Roman"/>
            <w:i/>
            <w:iCs/>
            <w:color w:val="67AF34"/>
            <w:sz w:val="24"/>
            <w:szCs w:val="24"/>
            <w:u w:val="single"/>
            <w:lang w:eastAsia="it-IT"/>
          </w:rPr>
          <w:t>art. 6, commi 1 e 2, del decreto legislativo 24 aprile 2006, n. 219</w:t>
        </w:r>
      </w:hyperlink>
      <w:r w:rsidRPr="00BE5184">
        <w:rPr>
          <w:rFonts w:eastAsia="Times New Roman" w:cs="Times New Roman"/>
          <w:sz w:val="24"/>
          <w:szCs w:val="24"/>
          <w:lang w:eastAsia="it-IT"/>
        </w:rPr>
        <w:t> per indicazioni diverse da quelle autorizzate;</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3) medicinali autorizzati ma non ancora disponibili sul territorio nazionale;</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b) malattie rare: malattia la cui prevalenza, intesa come il numero di casi presenti su una data popolazione, non superi la soglia di cinque casi su diecimila persone, e sia inclusa in una delle seguenti liste di riferimento: lista EMA (collegata ai pareri espressi dal Comitato medicinali orfani - COMP); lista del Centro nazionale malattie rare dell'Istituto superiore sanità;</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c) tumori rari: tumori con incidenza inferiore a 6/100,000/anno;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lastRenderedPageBreak/>
        <w:t>d) azienda farmaceutica: azienda produttrice del medicinale, ovvero titolare dell'autorizzazione all'immissione in commercio;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e) programma di uso terapeutico (anche detto «</w:t>
      </w:r>
      <w:proofErr w:type="spellStart"/>
      <w:r w:rsidRPr="00BE5184">
        <w:rPr>
          <w:rFonts w:eastAsia="Times New Roman" w:cs="Times New Roman"/>
          <w:sz w:val="24"/>
          <w:szCs w:val="24"/>
          <w:lang w:eastAsia="it-IT"/>
        </w:rPr>
        <w:t>expanded</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access</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program</w:t>
      </w:r>
      <w:proofErr w:type="spellEnd"/>
      <w:r w:rsidRPr="00BE5184">
        <w:rPr>
          <w:rFonts w:eastAsia="Times New Roman" w:cs="Times New Roman"/>
          <w:sz w:val="24"/>
          <w:szCs w:val="24"/>
          <w:lang w:eastAsia="it-IT"/>
        </w:rPr>
        <w:t>»): impiego di medicinali nell'ambito dell'uso compassionevole in più pazienti, sulla base di un protocollo clinico definito e identico per tutti i pazienti;</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f) uso terapeutico nominale: impiego di medicinali nell'ambito dell'uso compassionevole su base nominale per un singolo paziente, in base alle evidenze scientifiche e non nell'ambito di un protocollo clinico definito;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g) medicinale di terapia avanzata: si intende uno qualsiasi dei seguenti medicinali ad uso umano:</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1) medicinali di terapia genica, quali definiti nella parte IV dell'</w:t>
      </w:r>
      <w:hyperlink r:id="rId41" w:anchor="id=10LX0000208320ART154,__m=document" w:history="1">
        <w:r w:rsidRPr="00BE5184">
          <w:rPr>
            <w:rFonts w:eastAsia="Times New Roman" w:cs="Times New Roman"/>
            <w:i/>
            <w:iCs/>
            <w:color w:val="67AF34"/>
            <w:sz w:val="24"/>
            <w:szCs w:val="24"/>
            <w:u w:val="single"/>
            <w:lang w:eastAsia="it-IT"/>
          </w:rPr>
          <w:t>allegato I della direttiva 2001/83/CE</w:t>
        </w:r>
      </w:hyperlink>
      <w:r w:rsidRPr="00BE5184">
        <w:rPr>
          <w:rFonts w:eastAsia="Times New Roman" w:cs="Times New Roman"/>
          <w:sz w:val="24"/>
          <w:szCs w:val="24"/>
          <w:lang w:eastAsia="it-IT"/>
        </w:rPr>
        <w:t>;</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2) medicinali di terapia cellulare somatica, quali definiti nella parte IV dell'</w:t>
      </w:r>
      <w:hyperlink r:id="rId42" w:anchor="id=10LX0000208320ART154,__m=document" w:history="1">
        <w:r w:rsidRPr="00BE5184">
          <w:rPr>
            <w:rFonts w:eastAsia="Times New Roman" w:cs="Times New Roman"/>
            <w:i/>
            <w:iCs/>
            <w:color w:val="67AF34"/>
            <w:sz w:val="24"/>
            <w:szCs w:val="24"/>
            <w:u w:val="single"/>
            <w:lang w:eastAsia="it-IT"/>
          </w:rPr>
          <w:t>allegato I della direttiva 2001/83/CE</w:t>
        </w:r>
      </w:hyperlink>
      <w:r w:rsidRPr="00BE5184">
        <w:rPr>
          <w:rFonts w:eastAsia="Times New Roman" w:cs="Times New Roman"/>
          <w:sz w:val="24"/>
          <w:szCs w:val="24"/>
          <w:lang w:eastAsia="it-IT"/>
        </w:rPr>
        <w:t>;</w:t>
      </w:r>
    </w:p>
    <w:p w:rsidR="00026414" w:rsidRPr="00BE5184" w:rsidRDefault="00026414" w:rsidP="00421164">
      <w:pPr>
        <w:spacing w:after="20" w:line="240" w:lineRule="auto"/>
        <w:ind w:firstLine="600"/>
        <w:jc w:val="both"/>
        <w:rPr>
          <w:rFonts w:eastAsia="Times New Roman" w:cs="Times New Roman"/>
          <w:sz w:val="24"/>
          <w:szCs w:val="24"/>
          <w:lang w:eastAsia="it-IT"/>
        </w:rPr>
      </w:pPr>
      <w:r w:rsidRPr="00BE5184">
        <w:rPr>
          <w:rFonts w:eastAsia="Times New Roman" w:cs="Times New Roman"/>
          <w:sz w:val="24"/>
          <w:szCs w:val="24"/>
          <w:lang w:eastAsia="it-IT"/>
        </w:rPr>
        <w:t>3) prodotti di ingegneria tessutale quali definiti nell'</w:t>
      </w:r>
      <w:hyperlink r:id="rId43" w:anchor="id=10LX0000564041ART3,__m=document" w:history="1">
        <w:r w:rsidRPr="00BE5184">
          <w:rPr>
            <w:rFonts w:eastAsia="Times New Roman" w:cs="Times New Roman"/>
            <w:i/>
            <w:iCs/>
            <w:color w:val="67AF34"/>
            <w:sz w:val="24"/>
            <w:szCs w:val="24"/>
            <w:u w:val="single"/>
            <w:lang w:eastAsia="it-IT"/>
          </w:rPr>
          <w:t>art. 2 del regolamento 1394/2007CE</w:t>
        </w:r>
      </w:hyperlink>
      <w:r w:rsidRPr="00BE5184">
        <w:rPr>
          <w:rFonts w:eastAsia="Times New Roman" w:cs="Times New Roman"/>
          <w:sz w:val="24"/>
          <w:szCs w:val="24"/>
          <w:lang w:eastAsia="it-IT"/>
        </w:rPr>
        <w:t>;</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h) USMAF-SASN: Uffici di sanità marittima, aerea e di frontiera e dei servizi territoriali di assistenza sanitaria al personale navigante del Ministero della salute;</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i) reazione avversa: la reazione nociva e non voluta conseguente non solo all'uso autorizzato di un medicinale alle normali condizioni di impiego ma anche agli errori terapeutici e agli usi non conformi alle indicazioni contenute nell'autorizzazione all'immissione in commercio, incluso l'uso improprio e l'abuso del medicinale.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b/>
          <w:bCs/>
          <w:sz w:val="24"/>
          <w:szCs w:val="24"/>
          <w:lang w:eastAsia="it-IT"/>
        </w:rPr>
        <w:t>Art. 2.</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L'uso dei medicinali di cui all'art. 1 è richiesto dai soggetti di cui all'art. 3, comma 1, all'azienda farmaceutica per il trattamento di pazienti affetti da patologie gravi, malattie rare, tumori rari o in condizioni di malattia che li pongano in pericolo di vita, per i quali non siano disponibili valide alternative terapeutiche o che non possano essere inclusi in una sperimentazione clinica o, ai fini della continuità terapeutica, per pazienti già trattati con beneficio clinico nell'ambito di una sperimentazione clinica conclusa.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2. I medicinali di cui all'art. 1, comma 1, lettera a), devono: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a) essere già oggetto, nella medesima specifica indicazione terapeutica, di studi clinici sperimentali, in corso o conclusi, di fase terza o, in casi particolari di condizioni di malattia che pongano il paziente in pericolo di vita, di studi clinici già conclusi di fase seconda;</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b) avere dati disponibili sulle sperimentazioni di cui alla lettera a) che siano sufficienti per formulare un favorevole giudizio sull'efficacia e la tollerabilità del medicinale richiesto;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c) essere provvisti di Certificazione di produzione secondo le norme di buona fabbricazione (GMP).</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3. In caso di malattie rare o tumori rari, per i medicinali di cui all'art. 1 devono essere disponibili studi clinici sperimentali almeno di fase I, già conclusi e che abbiano documentato l'attività e la sicurezza del medicinale, ad una determinata dose e schedula di somministrazione, in indicazioni anche diverse da quella per la quale si richiede l'uso compassionevole. In tal caso la possibilità di ottenere un beneficio clinico dal medicinale deve essere ragionevolmente fondata in base al meccanismo d'azione ed agli effetti farmacodinamici del medicinale.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b/>
          <w:bCs/>
          <w:sz w:val="24"/>
          <w:szCs w:val="24"/>
          <w:lang w:eastAsia="it-IT"/>
        </w:rPr>
        <w:t>Art. 3.</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La richiesta di cui all'art. 2, comma 1, è presentata:</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a) dal medico per il singolo paziente non trattato nell'ambito di studi clinici, per uso nominale o nell'ambito di programmi di uso terapeutico;</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b) da più medici operanti in diversi centri o da gruppi collaborativi multicentrici;</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c) dal medico o da gruppi collaborativi per pazienti che hanno partecipato a una sperimentazione clinica che ha dimostrato un profilo di tollerabilità, sicurezza ed efficacia tali da configurare un'indicazione di continuità terapeutica, anche a conclusione della sperimentazione clinica.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2. In caso di malattie rare e tumori rari, la richiesta di medicinali, per i quali sono disponibili solo studi clinici sperimentali di fase I, è presentata dal medico che dirige il centro clinico individuato dalla regione per il trattamento delle malattie rare o il centro clinico appartenente alla Rete nazionale dei tumori rari. Le disposizioni di cui al presente comma non si applicano ai medicinali di terapia avanzata, per i quali trova applicazione il </w:t>
      </w:r>
      <w:hyperlink r:id="rId44" w:anchor="id=10LX0000810754ART0,__m=document" w:history="1">
        <w:r w:rsidRPr="00BE5184">
          <w:rPr>
            <w:rFonts w:eastAsia="Times New Roman" w:cs="Times New Roman"/>
            <w:i/>
            <w:iCs/>
            <w:color w:val="67AF34"/>
            <w:sz w:val="24"/>
            <w:szCs w:val="24"/>
            <w:u w:val="single"/>
            <w:lang w:eastAsia="it-IT"/>
          </w:rPr>
          <w:t>decreto del Ministro della salute 16 gennaio 2015</w:t>
        </w:r>
      </w:hyperlink>
      <w:r w:rsidRPr="00BE5184">
        <w:rPr>
          <w:rFonts w:eastAsia="Times New Roman" w:cs="Times New Roman"/>
          <w:sz w:val="24"/>
          <w:szCs w:val="24"/>
          <w:lang w:eastAsia="it-IT"/>
        </w:rPr>
        <w:t>, recante «Disposizioni in materia di medicinali per terapie avanzate preparati su base non ripetitiva», citato in premessa.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b/>
          <w:bCs/>
          <w:sz w:val="24"/>
          <w:szCs w:val="24"/>
          <w:lang w:eastAsia="it-IT"/>
        </w:rPr>
        <w:t>Art. 4.</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La richiesta per l'impiego di medicinali di cui all'art. 1 deve essere previamente sottoposta, da uno dei medici di cui all'art. 3, alla valutazione del competente Comitato etico, corredata dai seguenti documenti:</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a) motivazione clinica della richiesta;</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b) schema posologico e modalità di somministrazione di cui è stata dimostrata sicurezza e attività nelle sperimentazioni cliniche sulle quali si fonda la richiesta;</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c) grado di comparabilità dei pazienti inclusi nelle sperimentazioni cliniche e di coloro per i quali è formulata la richiesta o, per le sole malattie e tumori rari, la sussistenza almeno di un comune meccanismo d'azione che renda prevedibile un beneficio clinico sulla base delle evidenze disponibili per il medicinale;</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d) dati pertinenti relativi alla sicurezza, alla tollerabilità e all'efficacia;</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e) modello di informazione al paziente;</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f) dichiarazione di disponibilità dell'azienda produttrice alla fornitura gratuita del medicinale;</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g) modalità di raccolta dati;</w:t>
      </w:r>
    </w:p>
    <w:p w:rsidR="00026414" w:rsidRPr="00BE5184" w:rsidRDefault="00026414" w:rsidP="00421164">
      <w:pPr>
        <w:spacing w:after="20" w:line="240" w:lineRule="auto"/>
        <w:ind w:firstLine="400"/>
        <w:jc w:val="both"/>
        <w:rPr>
          <w:rFonts w:eastAsia="Times New Roman" w:cs="Times New Roman"/>
          <w:sz w:val="24"/>
          <w:szCs w:val="24"/>
          <w:lang w:eastAsia="it-IT"/>
        </w:rPr>
      </w:pPr>
      <w:r w:rsidRPr="00BE5184">
        <w:rPr>
          <w:rFonts w:eastAsia="Times New Roman" w:cs="Times New Roman"/>
          <w:sz w:val="24"/>
          <w:szCs w:val="24"/>
          <w:lang w:eastAsia="it-IT"/>
        </w:rPr>
        <w:t>h) dichiarazione di assunzione di responsabilità al trattamento secondo protocollo da parte del medico richiedente.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2. Il Comitato etico, valutata la richiesta, può operare anche mediante procedura di urgenza.</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3. Il Comitato etico trasmette digitalmente all'Agenzia italiana dei farmaco (AIFA) il proprio parere, corredato dalla relativa documentazione, entro tre giorni dall'adozione del parere stesso, per attività di monitoraggio sui diversi usi nominali e programmi di uso compassionevole attivati sul territorio.</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4. L'AIFA, ove ne ravvisi la necessità per la tutela della salute pubblica, può intervenire in modo restrittivo e sospendere o vietare l'impiego del medicinale di cui al presente decreto.</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5. Le modalità di trasmissione del parere e della documentazione di cui al comma 3 sono indicate dall'AIFA con determina, pubblicata sul proprio sito istituzionale.</w:t>
      </w:r>
    </w:p>
    <w:p w:rsidR="00026414" w:rsidRPr="00BE5184" w:rsidRDefault="00026414" w:rsidP="0042116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6. L'</w:t>
      </w:r>
      <w:proofErr w:type="spellStart"/>
      <w:r w:rsidRPr="00BE5184">
        <w:rPr>
          <w:rFonts w:eastAsia="Times New Roman" w:cs="Times New Roman"/>
          <w:sz w:val="24"/>
          <w:szCs w:val="24"/>
          <w:lang w:eastAsia="it-IT"/>
        </w:rPr>
        <w:t>Usmaf</w:t>
      </w:r>
      <w:proofErr w:type="spellEnd"/>
      <w:r w:rsidRPr="00BE5184">
        <w:rPr>
          <w:rFonts w:eastAsia="Times New Roman" w:cs="Times New Roman"/>
          <w:sz w:val="24"/>
          <w:szCs w:val="24"/>
          <w:lang w:eastAsia="it-IT"/>
        </w:rPr>
        <w:t xml:space="preserve"> </w:t>
      </w:r>
      <w:proofErr w:type="spellStart"/>
      <w:r w:rsidRPr="00BE5184">
        <w:rPr>
          <w:rFonts w:eastAsia="Times New Roman" w:cs="Times New Roman"/>
          <w:sz w:val="24"/>
          <w:szCs w:val="24"/>
          <w:lang w:eastAsia="it-IT"/>
        </w:rPr>
        <w:t>Sasn</w:t>
      </w:r>
      <w:proofErr w:type="spellEnd"/>
      <w:r w:rsidRPr="00BE5184">
        <w:rPr>
          <w:rFonts w:eastAsia="Times New Roman" w:cs="Times New Roman"/>
          <w:sz w:val="24"/>
          <w:szCs w:val="24"/>
          <w:lang w:eastAsia="it-IT"/>
        </w:rPr>
        <w:t xml:space="preserve"> territorialmente competente consente l'ingresso del medicinale dall'estero, dietro presentazione di apposita istanza corredata da una copia del favorevole parere reso dal Comitato etico, secondo le modalità previste dal </w:t>
      </w:r>
      <w:hyperlink r:id="rId45" w:anchor="id=10LX0000120821ART0,__m=document" w:history="1">
        <w:r w:rsidRPr="00BE5184">
          <w:rPr>
            <w:rFonts w:eastAsia="Times New Roman" w:cs="Times New Roman"/>
            <w:i/>
            <w:iCs/>
            <w:color w:val="67AF34"/>
            <w:sz w:val="24"/>
            <w:szCs w:val="24"/>
            <w:u w:val="single"/>
            <w:lang w:eastAsia="it-IT"/>
          </w:rPr>
          <w:t>decreto del Ministro della sanità 11 febbraio 1997</w:t>
        </w:r>
      </w:hyperlink>
      <w:r w:rsidRPr="00BE5184">
        <w:rPr>
          <w:rFonts w:eastAsia="Times New Roman" w:cs="Times New Roman"/>
          <w:sz w:val="24"/>
          <w:szCs w:val="24"/>
          <w:lang w:eastAsia="it-IT"/>
        </w:rPr>
        <w:t>, recante «Modalità di importazione di specialità medicinali registrate all'estero», citato in premessa.</w:t>
      </w:r>
    </w:p>
    <w:p w:rsidR="00026414" w:rsidRPr="00BE5184" w:rsidRDefault="00026414" w:rsidP="00026414">
      <w:pPr>
        <w:spacing w:before="100" w:beforeAutospacing="1" w:after="20" w:line="240" w:lineRule="auto"/>
        <w:rPr>
          <w:rFonts w:eastAsia="Times New Roman" w:cs="Times New Roman"/>
          <w:sz w:val="24"/>
          <w:szCs w:val="24"/>
          <w:lang w:eastAsia="it-IT"/>
        </w:rPr>
      </w:pPr>
      <w:r w:rsidRPr="00BE5184">
        <w:rPr>
          <w:rFonts w:eastAsia="Times New Roman" w:cs="Times New Roman"/>
          <w:b/>
          <w:bCs/>
          <w:sz w:val="24"/>
          <w:szCs w:val="24"/>
          <w:lang w:eastAsia="it-IT"/>
        </w:rPr>
        <w:t>Art. 5.</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 xml:space="preserve">1. Le aziende farmaceutiche che intendono attivare programmi di uso compassionevole in Italia informano preventivamente l'AIFA sulla data di attivazione nonché di chiusura del programma, indicando il medicinale che intendono mettere a disposizione in forma gratuita ai sensi del presente decreto e dichiarando il periodo di presumibile disponibilità alla fornitura gratuita del medicinale, fatte salve situazioni </w:t>
      </w:r>
      <w:proofErr w:type="spellStart"/>
      <w:r w:rsidRPr="00BE5184">
        <w:rPr>
          <w:rFonts w:eastAsia="Times New Roman" w:cs="Times New Roman"/>
          <w:sz w:val="24"/>
          <w:szCs w:val="24"/>
          <w:lang w:eastAsia="it-IT"/>
        </w:rPr>
        <w:t>regolatorie</w:t>
      </w:r>
      <w:proofErr w:type="spellEnd"/>
      <w:r w:rsidRPr="00BE5184">
        <w:rPr>
          <w:rFonts w:eastAsia="Times New Roman" w:cs="Times New Roman"/>
          <w:sz w:val="24"/>
          <w:szCs w:val="24"/>
          <w:lang w:eastAsia="it-IT"/>
        </w:rPr>
        <w:t xml:space="preserve"> o di sicurezza che possono provocarne una precoce interruzione d'ufficio, tenuto conto di quanto previsto dall'</w:t>
      </w:r>
      <w:hyperlink r:id="rId46" w:anchor="id=10LX0000213464ART84,__m=document" w:history="1">
        <w:r w:rsidRPr="00BE5184">
          <w:rPr>
            <w:rFonts w:eastAsia="Times New Roman" w:cs="Times New Roman"/>
            <w:i/>
            <w:iCs/>
            <w:color w:val="67AF34"/>
            <w:sz w:val="24"/>
            <w:szCs w:val="24"/>
            <w:u w:val="single"/>
            <w:lang w:eastAsia="it-IT"/>
          </w:rPr>
          <w:t>art. 83, comma 8, del regolamento n. 726/2004</w:t>
        </w:r>
      </w:hyperlink>
      <w:r w:rsidRPr="00BE5184">
        <w:rPr>
          <w:rFonts w:eastAsia="Times New Roman" w:cs="Times New Roman"/>
          <w:sz w:val="24"/>
          <w:szCs w:val="24"/>
          <w:lang w:eastAsia="it-IT"/>
        </w:rPr>
        <w:t>. La comunicazione di chiusura del programma di uso compassionevole deve essere inoltrata all'AIFA almeno trenta giorni prima della data di chiusura.</w:t>
      </w:r>
    </w:p>
    <w:p w:rsidR="00026414" w:rsidRPr="00BE5184" w:rsidRDefault="00026414" w:rsidP="00026414">
      <w:pPr>
        <w:spacing w:before="100" w:beforeAutospacing="1" w:after="20" w:line="240" w:lineRule="auto"/>
        <w:rPr>
          <w:rFonts w:eastAsia="Times New Roman" w:cs="Times New Roman"/>
          <w:sz w:val="24"/>
          <w:szCs w:val="24"/>
          <w:lang w:eastAsia="it-IT"/>
        </w:rPr>
      </w:pPr>
      <w:r w:rsidRPr="00BE5184">
        <w:rPr>
          <w:rFonts w:eastAsia="Times New Roman" w:cs="Times New Roman"/>
          <w:b/>
          <w:bCs/>
          <w:sz w:val="24"/>
          <w:szCs w:val="24"/>
          <w:lang w:eastAsia="it-IT"/>
        </w:rPr>
        <w:t>Art. 6.</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I dati relativi all'uso del medicinale, di cui al presente decreto, non sostituiscono i dati necessari per la procedura di autorizzazione all'immissione in commercio, ai sensi del </w:t>
      </w:r>
      <w:hyperlink r:id="rId47" w:anchor="id=10LX0000402398ART0,__m=document" w:history="1">
        <w:r w:rsidRPr="00BE5184">
          <w:rPr>
            <w:rFonts w:eastAsia="Times New Roman" w:cs="Times New Roman"/>
            <w:i/>
            <w:iCs/>
            <w:color w:val="67AF34"/>
            <w:sz w:val="24"/>
            <w:szCs w:val="24"/>
            <w:u w:val="single"/>
            <w:lang w:eastAsia="it-IT"/>
          </w:rPr>
          <w:t>decreto legislativo 24 aprile 2006, n. 219</w:t>
        </w:r>
      </w:hyperlink>
      <w:r w:rsidRPr="00BE5184">
        <w:rPr>
          <w:rFonts w:eastAsia="Times New Roman" w:cs="Times New Roman"/>
          <w:sz w:val="24"/>
          <w:szCs w:val="24"/>
          <w:lang w:eastAsia="it-IT"/>
        </w:rPr>
        <w:t> e della normativa comunitaria, ma possono essere utilizzati come dati a supporto della suddetta procedura.</w:t>
      </w:r>
    </w:p>
    <w:p w:rsidR="00026414" w:rsidRPr="00BE5184" w:rsidRDefault="00026414" w:rsidP="00026414">
      <w:pPr>
        <w:spacing w:after="0" w:line="240" w:lineRule="auto"/>
        <w:rPr>
          <w:rFonts w:eastAsia="Times New Roman" w:cs="Times New Roman"/>
          <w:sz w:val="24"/>
          <w:szCs w:val="24"/>
          <w:lang w:eastAsia="it-IT"/>
        </w:rPr>
      </w:pPr>
      <w:r w:rsidRPr="00BE5184">
        <w:rPr>
          <w:rFonts w:eastAsia="Times New Roman" w:cs="Times New Roman"/>
          <w:color w:val="000000"/>
          <w:sz w:val="24"/>
          <w:szCs w:val="24"/>
          <w:lang w:eastAsia="it-IT"/>
        </w:rPr>
        <w:br/>
      </w:r>
      <w:r w:rsidRPr="00BE5184">
        <w:rPr>
          <w:rFonts w:eastAsia="Times New Roman" w:cs="Times New Roman"/>
          <w:b/>
          <w:bCs/>
          <w:sz w:val="24"/>
          <w:szCs w:val="24"/>
          <w:lang w:eastAsia="it-IT"/>
        </w:rPr>
        <w:t>Art. 7.</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Ai medicinali per uso compassionevole di cui al presente decreto si applica quanto previsto dal </w:t>
      </w:r>
      <w:hyperlink r:id="rId48" w:anchor="id=10LX0000815424ART0,__m=document" w:history="1">
        <w:r w:rsidRPr="00BE5184">
          <w:rPr>
            <w:rFonts w:eastAsia="Times New Roman" w:cs="Times New Roman"/>
            <w:i/>
            <w:iCs/>
            <w:color w:val="67AF34"/>
            <w:sz w:val="24"/>
            <w:szCs w:val="24"/>
            <w:u w:val="single"/>
            <w:lang w:eastAsia="it-IT"/>
          </w:rPr>
          <w:t>decreto del Ministro della salute 30 aprile 2015</w:t>
        </w:r>
      </w:hyperlink>
      <w:r w:rsidRPr="00BE5184">
        <w:rPr>
          <w:rFonts w:eastAsia="Times New Roman" w:cs="Times New Roman"/>
          <w:sz w:val="24"/>
          <w:szCs w:val="24"/>
          <w:lang w:eastAsia="it-IT"/>
        </w:rPr>
        <w:t>, recante «Procedure operative e soluzioni tecniche per un'efficace azione di farmacovigilanza adottate ai sensi del comma </w:t>
      </w:r>
      <w:hyperlink r:id="rId49" w:anchor="id=10LX0000778684ART13,__m=document" w:history="1">
        <w:r w:rsidRPr="00BE5184">
          <w:rPr>
            <w:rFonts w:eastAsia="Times New Roman" w:cs="Times New Roman"/>
            <w:i/>
            <w:iCs/>
            <w:color w:val="67AF34"/>
            <w:sz w:val="24"/>
            <w:szCs w:val="24"/>
            <w:u w:val="single"/>
            <w:lang w:eastAsia="it-IT"/>
          </w:rPr>
          <w:t>344 dell'art. 1 della legge 24 dicembre 2012, n. 228</w:t>
        </w:r>
      </w:hyperlink>
      <w:r w:rsidRPr="00BE5184">
        <w:rPr>
          <w:rFonts w:eastAsia="Times New Roman" w:cs="Times New Roman"/>
          <w:sz w:val="24"/>
          <w:szCs w:val="24"/>
          <w:lang w:eastAsia="it-IT"/>
        </w:rPr>
        <w:t> (legge di stabilità 2013)», citato in premessa.</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2. I medici e gli altri operatori sanitari, nell'ambito della propria attività, sono tenuti a segnalare al responsabile di farmacovigilanza della struttura sanitaria di appartenenza del segnalatore stesso o direttamente alla Rete nazionale di farmacovigilanza attraverso il portale web dell'AIFA e al Comitato etico competente, le sospette reazioni avverse, specificando che si tratta di un medicinale utilizzato ai sensi del presente decreto; la segnalazione deve essere inviata entro due giorni e, per i medicinali di origine biologica non oltre le trentasei ore, in modo completo e secondo le modalità pubblicate sul sito istituzionale dell'AIFA. Successivamente sarà cura del responsabile di farmacovigilanza della struttura sanitaria di appartenenza del segnalatore notificare la segnalazione all'AIFA e dell'Azienda che ha fornito il medicinale utilizzato ai sensi del presente decreto secondo la modalità e le tempistiche previste dal </w:t>
      </w:r>
      <w:hyperlink r:id="rId50" w:anchor="id=10LX0000815424ART0,__m=document" w:history="1">
        <w:r w:rsidRPr="00BE5184">
          <w:rPr>
            <w:rFonts w:eastAsia="Times New Roman" w:cs="Times New Roman"/>
            <w:i/>
            <w:iCs/>
            <w:color w:val="67AF34"/>
            <w:sz w:val="24"/>
            <w:szCs w:val="24"/>
            <w:u w:val="single"/>
            <w:lang w:eastAsia="it-IT"/>
          </w:rPr>
          <w:t>decreto del Ministro della salute 30 aprile 2015</w:t>
        </w:r>
      </w:hyperlink>
      <w:r w:rsidRPr="00BE5184">
        <w:rPr>
          <w:rFonts w:eastAsia="Times New Roman" w:cs="Times New Roman"/>
          <w:sz w:val="24"/>
          <w:szCs w:val="24"/>
          <w:lang w:eastAsia="it-IT"/>
        </w:rPr>
        <w:t> citato in premessa.</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3. L'azienda che ha fornito il medicinale è tenuta a gestire le segnalazioni di cui al comma 1 secondo le modalità previste dal </w:t>
      </w:r>
      <w:hyperlink r:id="rId51" w:anchor="id=10LX0000815424ART0,__m=document" w:history="1">
        <w:r w:rsidRPr="00BE5184">
          <w:rPr>
            <w:rFonts w:eastAsia="Times New Roman" w:cs="Times New Roman"/>
            <w:i/>
            <w:iCs/>
            <w:color w:val="67AF34"/>
            <w:sz w:val="24"/>
            <w:szCs w:val="24"/>
            <w:u w:val="single"/>
            <w:lang w:eastAsia="it-IT"/>
          </w:rPr>
          <w:t>decreto del Ministro della salute 30 aprile 2015</w:t>
        </w:r>
      </w:hyperlink>
      <w:r w:rsidRPr="00BE5184">
        <w:rPr>
          <w:rFonts w:eastAsia="Times New Roman" w:cs="Times New Roman"/>
          <w:sz w:val="24"/>
          <w:szCs w:val="24"/>
          <w:lang w:eastAsia="it-IT"/>
        </w:rPr>
        <w:t> citato in premessa e a informare il Comitato etico competente.</w:t>
      </w:r>
    </w:p>
    <w:p w:rsidR="00026414" w:rsidRPr="00BE5184" w:rsidRDefault="00026414" w:rsidP="00026414">
      <w:pPr>
        <w:spacing w:after="0" w:line="240" w:lineRule="auto"/>
        <w:rPr>
          <w:rFonts w:eastAsia="Times New Roman" w:cs="Times New Roman"/>
          <w:sz w:val="24"/>
          <w:szCs w:val="24"/>
          <w:lang w:eastAsia="it-IT"/>
        </w:rPr>
      </w:pPr>
      <w:r w:rsidRPr="00BE5184">
        <w:rPr>
          <w:rFonts w:eastAsia="Times New Roman" w:cs="Times New Roman"/>
          <w:color w:val="000000"/>
          <w:sz w:val="24"/>
          <w:szCs w:val="24"/>
          <w:lang w:eastAsia="it-IT"/>
        </w:rPr>
        <w:br/>
      </w:r>
      <w:r w:rsidRPr="00BE5184">
        <w:rPr>
          <w:rFonts w:eastAsia="Times New Roman" w:cs="Times New Roman"/>
          <w:b/>
          <w:bCs/>
          <w:sz w:val="24"/>
          <w:szCs w:val="24"/>
          <w:lang w:eastAsia="it-IT"/>
        </w:rPr>
        <w:t>Art. 8.</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1. Il presente decreto entra in vigore il trentesimo giorno successivo alla sua pubblicazione nella Gazzetta Ufficiale della Repubblica italiana.</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2. Il </w:t>
      </w:r>
      <w:hyperlink r:id="rId52" w:anchor="id=10LX0000156861ART0,__m=document" w:history="1">
        <w:r w:rsidRPr="00BE5184">
          <w:rPr>
            <w:rFonts w:eastAsia="Times New Roman" w:cs="Times New Roman"/>
            <w:i/>
            <w:iCs/>
            <w:color w:val="67AF34"/>
            <w:sz w:val="24"/>
            <w:szCs w:val="24"/>
            <w:u w:val="single"/>
            <w:lang w:eastAsia="it-IT"/>
          </w:rPr>
          <w:t>decreto del Ministro della salute 8 maggio 2003</w:t>
        </w:r>
      </w:hyperlink>
      <w:r w:rsidRPr="00BE5184">
        <w:rPr>
          <w:rFonts w:eastAsia="Times New Roman" w:cs="Times New Roman"/>
          <w:sz w:val="24"/>
          <w:szCs w:val="24"/>
          <w:lang w:eastAsia="it-IT"/>
        </w:rPr>
        <w:t>, citato in premessa, è abrogato a decorrere dalla data di entrata in vigore del presente decreto.</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3. Il </w:t>
      </w:r>
      <w:hyperlink r:id="rId53" w:anchor="id=10LX0000156861ART0,__m=document" w:history="1">
        <w:r w:rsidRPr="00BE5184">
          <w:rPr>
            <w:rFonts w:eastAsia="Times New Roman" w:cs="Times New Roman"/>
            <w:i/>
            <w:iCs/>
            <w:color w:val="67AF34"/>
            <w:sz w:val="24"/>
            <w:szCs w:val="24"/>
            <w:u w:val="single"/>
            <w:lang w:eastAsia="it-IT"/>
          </w:rPr>
          <w:t>decreto del Ministro della salute 8 maggio 2003</w:t>
        </w:r>
      </w:hyperlink>
      <w:r w:rsidRPr="00BE5184">
        <w:rPr>
          <w:rFonts w:eastAsia="Times New Roman" w:cs="Times New Roman"/>
          <w:sz w:val="24"/>
          <w:szCs w:val="24"/>
          <w:lang w:eastAsia="it-IT"/>
        </w:rPr>
        <w:t>, citato in premessa, continua ad applicarsi alle procedure in corso alla data di entrata in vigore del presente decreto.</w:t>
      </w:r>
    </w:p>
    <w:p w:rsidR="00026414" w:rsidRPr="00BE5184" w:rsidRDefault="00026414" w:rsidP="00026414">
      <w:pPr>
        <w:spacing w:before="100" w:beforeAutospacing="1" w:after="20" w:line="240" w:lineRule="auto"/>
        <w:jc w:val="both"/>
        <w:rPr>
          <w:rFonts w:eastAsia="Times New Roman" w:cs="Times New Roman"/>
          <w:sz w:val="24"/>
          <w:szCs w:val="24"/>
          <w:lang w:eastAsia="it-IT"/>
        </w:rPr>
      </w:pPr>
      <w:r w:rsidRPr="00BE5184">
        <w:rPr>
          <w:rFonts w:eastAsia="Times New Roman" w:cs="Times New Roman"/>
          <w:sz w:val="24"/>
          <w:szCs w:val="24"/>
          <w:lang w:eastAsia="it-IT"/>
        </w:rPr>
        <w:t>Il presente decreto sarà sottoposto al visto del competente organo di controllo e sarà pubblicato nella Gazzetta Ufficiale della Repubblica italiana.</w:t>
      </w:r>
    </w:p>
    <w:p w:rsidR="00154CE0" w:rsidRPr="00BE5184" w:rsidRDefault="00154CE0">
      <w:pPr>
        <w:rPr>
          <w:sz w:val="24"/>
          <w:szCs w:val="24"/>
        </w:rPr>
      </w:pPr>
    </w:p>
    <w:sectPr w:rsidR="00154CE0" w:rsidRPr="00BE51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14"/>
    <w:rsid w:val="00026414"/>
    <w:rsid w:val="00154CE0"/>
    <w:rsid w:val="003244DB"/>
    <w:rsid w:val="00421164"/>
    <w:rsid w:val="00BE5184"/>
    <w:rsid w:val="00F03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BC59BC-1642-4665-8B49-C18D897D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ovvestremo">
    <w:name w:val="provv_estremo"/>
    <w:basedOn w:val="Normale"/>
    <w:rsid w:val="000264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026414"/>
  </w:style>
  <w:style w:type="character" w:styleId="Collegamentoipertestuale">
    <w:name w:val="Hyperlink"/>
    <w:basedOn w:val="Carpredefinitoparagrafo"/>
    <w:uiPriority w:val="99"/>
    <w:semiHidden/>
    <w:unhideWhenUsed/>
    <w:rsid w:val="00026414"/>
    <w:rPr>
      <w:color w:val="0000FF"/>
      <w:u w:val="single"/>
    </w:rPr>
  </w:style>
  <w:style w:type="paragraph" w:customStyle="1" w:styleId="provvr0">
    <w:name w:val="provv_r0"/>
    <w:basedOn w:val="Normale"/>
    <w:rsid w:val="000264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nota">
    <w:name w:val="provv_nota"/>
    <w:basedOn w:val="Normale"/>
    <w:rsid w:val="000264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02641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0264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026414"/>
  </w:style>
  <w:style w:type="character" w:customStyle="1" w:styleId="provvnumart">
    <w:name w:val="provv_numart"/>
    <w:basedOn w:val="Carpredefinitoparagrafo"/>
    <w:rsid w:val="00026414"/>
  </w:style>
  <w:style w:type="character" w:customStyle="1" w:styleId="provvnumcomma">
    <w:name w:val="provv_numcomma"/>
    <w:basedOn w:val="Carpredefinitoparagrafo"/>
    <w:rsid w:val="00026414"/>
  </w:style>
  <w:style w:type="paragraph" w:styleId="Testofumetto">
    <w:name w:val="Balloon Text"/>
    <w:basedOn w:val="Normale"/>
    <w:link w:val="TestofumettoCarattere"/>
    <w:uiPriority w:val="99"/>
    <w:semiHidden/>
    <w:unhideWhenUsed/>
    <w:rsid w:val="00F037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55707">
      <w:bodyDiv w:val="1"/>
      <w:marLeft w:val="0"/>
      <w:marRight w:val="0"/>
      <w:marTop w:val="0"/>
      <w:marBottom w:val="0"/>
      <w:divBdr>
        <w:top w:val="none" w:sz="0" w:space="0" w:color="auto"/>
        <w:left w:val="none" w:sz="0" w:space="0" w:color="auto"/>
        <w:bottom w:val="none" w:sz="0" w:space="0" w:color="auto"/>
        <w:right w:val="none" w:sz="0" w:space="0" w:color="auto"/>
      </w:divBdr>
      <w:divsChild>
        <w:div w:id="2085447702">
          <w:marLeft w:val="0"/>
          <w:marRight w:val="0"/>
          <w:marTop w:val="0"/>
          <w:marBottom w:val="20"/>
          <w:divBdr>
            <w:top w:val="none" w:sz="0" w:space="0" w:color="auto"/>
            <w:left w:val="none" w:sz="0" w:space="0" w:color="auto"/>
            <w:bottom w:val="none" w:sz="0" w:space="0" w:color="auto"/>
            <w:right w:val="none" w:sz="0" w:space="0" w:color="auto"/>
          </w:divBdr>
        </w:div>
        <w:div w:id="1114592156">
          <w:marLeft w:val="0"/>
          <w:marRight w:val="0"/>
          <w:marTop w:val="0"/>
          <w:marBottom w:val="20"/>
          <w:divBdr>
            <w:top w:val="none" w:sz="0" w:space="0" w:color="auto"/>
            <w:left w:val="none" w:sz="0" w:space="0" w:color="auto"/>
            <w:bottom w:val="none" w:sz="0" w:space="0" w:color="auto"/>
            <w:right w:val="none" w:sz="0" w:space="0" w:color="auto"/>
          </w:divBdr>
        </w:div>
        <w:div w:id="583690758">
          <w:marLeft w:val="0"/>
          <w:marRight w:val="0"/>
          <w:marTop w:val="0"/>
          <w:marBottom w:val="20"/>
          <w:divBdr>
            <w:top w:val="none" w:sz="0" w:space="0" w:color="auto"/>
            <w:left w:val="none" w:sz="0" w:space="0" w:color="auto"/>
            <w:bottom w:val="none" w:sz="0" w:space="0" w:color="auto"/>
            <w:right w:val="none" w:sz="0" w:space="0" w:color="auto"/>
          </w:divBdr>
        </w:div>
        <w:div w:id="298582459">
          <w:marLeft w:val="0"/>
          <w:marRight w:val="0"/>
          <w:marTop w:val="0"/>
          <w:marBottom w:val="20"/>
          <w:divBdr>
            <w:top w:val="none" w:sz="0" w:space="0" w:color="auto"/>
            <w:left w:val="none" w:sz="0" w:space="0" w:color="auto"/>
            <w:bottom w:val="none" w:sz="0" w:space="0" w:color="auto"/>
            <w:right w:val="none" w:sz="0" w:space="0" w:color="auto"/>
          </w:divBdr>
        </w:div>
        <w:div w:id="1853645714">
          <w:marLeft w:val="0"/>
          <w:marRight w:val="0"/>
          <w:marTop w:val="0"/>
          <w:marBottom w:val="20"/>
          <w:divBdr>
            <w:top w:val="none" w:sz="0" w:space="0" w:color="auto"/>
            <w:left w:val="none" w:sz="0" w:space="0" w:color="auto"/>
            <w:bottom w:val="none" w:sz="0" w:space="0" w:color="auto"/>
            <w:right w:val="none" w:sz="0" w:space="0" w:color="auto"/>
          </w:divBdr>
        </w:div>
        <w:div w:id="6446467">
          <w:marLeft w:val="0"/>
          <w:marRight w:val="0"/>
          <w:marTop w:val="0"/>
          <w:marBottom w:val="20"/>
          <w:divBdr>
            <w:top w:val="none" w:sz="0" w:space="0" w:color="auto"/>
            <w:left w:val="none" w:sz="0" w:space="0" w:color="auto"/>
            <w:bottom w:val="none" w:sz="0" w:space="0" w:color="auto"/>
            <w:right w:val="none" w:sz="0" w:space="0" w:color="auto"/>
          </w:divBdr>
        </w:div>
        <w:div w:id="224803624">
          <w:marLeft w:val="0"/>
          <w:marRight w:val="0"/>
          <w:marTop w:val="0"/>
          <w:marBottom w:val="20"/>
          <w:divBdr>
            <w:top w:val="none" w:sz="0" w:space="0" w:color="auto"/>
            <w:left w:val="none" w:sz="0" w:space="0" w:color="auto"/>
            <w:bottom w:val="none" w:sz="0" w:space="0" w:color="auto"/>
            <w:right w:val="none" w:sz="0" w:space="0" w:color="auto"/>
          </w:divBdr>
        </w:div>
        <w:div w:id="298652509">
          <w:marLeft w:val="0"/>
          <w:marRight w:val="0"/>
          <w:marTop w:val="0"/>
          <w:marBottom w:val="20"/>
          <w:divBdr>
            <w:top w:val="none" w:sz="0" w:space="0" w:color="auto"/>
            <w:left w:val="none" w:sz="0" w:space="0" w:color="auto"/>
            <w:bottom w:val="none" w:sz="0" w:space="0" w:color="auto"/>
            <w:right w:val="none" w:sz="0" w:space="0" w:color="auto"/>
          </w:divBdr>
        </w:div>
        <w:div w:id="1855920841">
          <w:marLeft w:val="0"/>
          <w:marRight w:val="0"/>
          <w:marTop w:val="0"/>
          <w:marBottom w:val="20"/>
          <w:divBdr>
            <w:top w:val="none" w:sz="0" w:space="0" w:color="auto"/>
            <w:left w:val="none" w:sz="0" w:space="0" w:color="auto"/>
            <w:bottom w:val="none" w:sz="0" w:space="0" w:color="auto"/>
            <w:right w:val="none" w:sz="0" w:space="0" w:color="auto"/>
          </w:divBdr>
        </w:div>
        <w:div w:id="693532610">
          <w:marLeft w:val="0"/>
          <w:marRight w:val="0"/>
          <w:marTop w:val="0"/>
          <w:marBottom w:val="20"/>
          <w:divBdr>
            <w:top w:val="none" w:sz="0" w:space="0" w:color="auto"/>
            <w:left w:val="none" w:sz="0" w:space="0" w:color="auto"/>
            <w:bottom w:val="none" w:sz="0" w:space="0" w:color="auto"/>
            <w:right w:val="none" w:sz="0" w:space="0" w:color="auto"/>
          </w:divBdr>
        </w:div>
        <w:div w:id="178198795">
          <w:marLeft w:val="0"/>
          <w:marRight w:val="0"/>
          <w:marTop w:val="0"/>
          <w:marBottom w:val="20"/>
          <w:divBdr>
            <w:top w:val="none" w:sz="0" w:space="0" w:color="auto"/>
            <w:left w:val="none" w:sz="0" w:space="0" w:color="auto"/>
            <w:bottom w:val="none" w:sz="0" w:space="0" w:color="auto"/>
            <w:right w:val="none" w:sz="0" w:space="0" w:color="auto"/>
          </w:divBdr>
        </w:div>
        <w:div w:id="1125541396">
          <w:marLeft w:val="0"/>
          <w:marRight w:val="0"/>
          <w:marTop w:val="0"/>
          <w:marBottom w:val="20"/>
          <w:divBdr>
            <w:top w:val="none" w:sz="0" w:space="0" w:color="auto"/>
            <w:left w:val="none" w:sz="0" w:space="0" w:color="auto"/>
            <w:bottom w:val="none" w:sz="0" w:space="0" w:color="auto"/>
            <w:right w:val="none" w:sz="0" w:space="0" w:color="auto"/>
          </w:divBdr>
        </w:div>
        <w:div w:id="1106191627">
          <w:marLeft w:val="0"/>
          <w:marRight w:val="0"/>
          <w:marTop w:val="0"/>
          <w:marBottom w:val="20"/>
          <w:divBdr>
            <w:top w:val="none" w:sz="0" w:space="0" w:color="auto"/>
            <w:left w:val="none" w:sz="0" w:space="0" w:color="auto"/>
            <w:bottom w:val="none" w:sz="0" w:space="0" w:color="auto"/>
            <w:right w:val="none" w:sz="0" w:space="0" w:color="auto"/>
          </w:divBdr>
        </w:div>
        <w:div w:id="770970582">
          <w:marLeft w:val="0"/>
          <w:marRight w:val="0"/>
          <w:marTop w:val="0"/>
          <w:marBottom w:val="20"/>
          <w:divBdr>
            <w:top w:val="none" w:sz="0" w:space="0" w:color="auto"/>
            <w:left w:val="none" w:sz="0" w:space="0" w:color="auto"/>
            <w:bottom w:val="none" w:sz="0" w:space="0" w:color="auto"/>
            <w:right w:val="none" w:sz="0" w:space="0" w:color="auto"/>
          </w:divBdr>
        </w:div>
        <w:div w:id="428283907">
          <w:marLeft w:val="0"/>
          <w:marRight w:val="0"/>
          <w:marTop w:val="0"/>
          <w:marBottom w:val="20"/>
          <w:divBdr>
            <w:top w:val="none" w:sz="0" w:space="0" w:color="auto"/>
            <w:left w:val="none" w:sz="0" w:space="0" w:color="auto"/>
            <w:bottom w:val="none" w:sz="0" w:space="0" w:color="auto"/>
            <w:right w:val="none" w:sz="0" w:space="0" w:color="auto"/>
          </w:divBdr>
        </w:div>
        <w:div w:id="1148321804">
          <w:marLeft w:val="0"/>
          <w:marRight w:val="0"/>
          <w:marTop w:val="0"/>
          <w:marBottom w:val="20"/>
          <w:divBdr>
            <w:top w:val="none" w:sz="0" w:space="0" w:color="auto"/>
            <w:left w:val="none" w:sz="0" w:space="0" w:color="auto"/>
            <w:bottom w:val="none" w:sz="0" w:space="0" w:color="auto"/>
            <w:right w:val="none" w:sz="0" w:space="0" w:color="auto"/>
          </w:divBdr>
        </w:div>
        <w:div w:id="1303005196">
          <w:marLeft w:val="0"/>
          <w:marRight w:val="0"/>
          <w:marTop w:val="0"/>
          <w:marBottom w:val="20"/>
          <w:divBdr>
            <w:top w:val="none" w:sz="0" w:space="0" w:color="auto"/>
            <w:left w:val="none" w:sz="0" w:space="0" w:color="auto"/>
            <w:bottom w:val="none" w:sz="0" w:space="0" w:color="auto"/>
            <w:right w:val="none" w:sz="0" w:space="0" w:color="auto"/>
          </w:divBdr>
        </w:div>
        <w:div w:id="35156880">
          <w:marLeft w:val="0"/>
          <w:marRight w:val="0"/>
          <w:marTop w:val="0"/>
          <w:marBottom w:val="20"/>
          <w:divBdr>
            <w:top w:val="none" w:sz="0" w:space="0" w:color="auto"/>
            <w:left w:val="none" w:sz="0" w:space="0" w:color="auto"/>
            <w:bottom w:val="none" w:sz="0" w:space="0" w:color="auto"/>
            <w:right w:val="none" w:sz="0" w:space="0" w:color="auto"/>
          </w:divBdr>
        </w:div>
        <w:div w:id="414405335">
          <w:marLeft w:val="0"/>
          <w:marRight w:val="0"/>
          <w:marTop w:val="0"/>
          <w:marBottom w:val="20"/>
          <w:divBdr>
            <w:top w:val="none" w:sz="0" w:space="0" w:color="auto"/>
            <w:left w:val="none" w:sz="0" w:space="0" w:color="auto"/>
            <w:bottom w:val="none" w:sz="0" w:space="0" w:color="auto"/>
            <w:right w:val="none" w:sz="0" w:space="0" w:color="auto"/>
          </w:divBdr>
        </w:div>
        <w:div w:id="852954800">
          <w:marLeft w:val="0"/>
          <w:marRight w:val="0"/>
          <w:marTop w:val="0"/>
          <w:marBottom w:val="20"/>
          <w:divBdr>
            <w:top w:val="none" w:sz="0" w:space="0" w:color="auto"/>
            <w:left w:val="none" w:sz="0" w:space="0" w:color="auto"/>
            <w:bottom w:val="none" w:sz="0" w:space="0" w:color="auto"/>
            <w:right w:val="none" w:sz="0" w:space="0" w:color="auto"/>
          </w:divBdr>
        </w:div>
        <w:div w:id="2077967298">
          <w:marLeft w:val="0"/>
          <w:marRight w:val="0"/>
          <w:marTop w:val="0"/>
          <w:marBottom w:val="20"/>
          <w:divBdr>
            <w:top w:val="none" w:sz="0" w:space="0" w:color="auto"/>
            <w:left w:val="none" w:sz="0" w:space="0" w:color="auto"/>
            <w:bottom w:val="none" w:sz="0" w:space="0" w:color="auto"/>
            <w:right w:val="none" w:sz="0" w:space="0" w:color="auto"/>
          </w:divBdr>
        </w:div>
        <w:div w:id="2105107795">
          <w:marLeft w:val="0"/>
          <w:marRight w:val="0"/>
          <w:marTop w:val="0"/>
          <w:marBottom w:val="20"/>
          <w:divBdr>
            <w:top w:val="none" w:sz="0" w:space="0" w:color="auto"/>
            <w:left w:val="none" w:sz="0" w:space="0" w:color="auto"/>
            <w:bottom w:val="none" w:sz="0" w:space="0" w:color="auto"/>
            <w:right w:val="none" w:sz="0" w:space="0" w:color="auto"/>
          </w:divBdr>
        </w:div>
        <w:div w:id="953245973">
          <w:marLeft w:val="0"/>
          <w:marRight w:val="0"/>
          <w:marTop w:val="0"/>
          <w:marBottom w:val="20"/>
          <w:divBdr>
            <w:top w:val="none" w:sz="0" w:space="0" w:color="auto"/>
            <w:left w:val="none" w:sz="0" w:space="0" w:color="auto"/>
            <w:bottom w:val="none" w:sz="0" w:space="0" w:color="auto"/>
            <w:right w:val="none" w:sz="0" w:space="0" w:color="auto"/>
          </w:divBdr>
        </w:div>
        <w:div w:id="145322389">
          <w:marLeft w:val="0"/>
          <w:marRight w:val="0"/>
          <w:marTop w:val="0"/>
          <w:marBottom w:val="20"/>
          <w:divBdr>
            <w:top w:val="none" w:sz="0" w:space="0" w:color="auto"/>
            <w:left w:val="none" w:sz="0" w:space="0" w:color="auto"/>
            <w:bottom w:val="none" w:sz="0" w:space="0" w:color="auto"/>
            <w:right w:val="none" w:sz="0" w:space="0" w:color="auto"/>
          </w:divBdr>
        </w:div>
        <w:div w:id="495222561">
          <w:marLeft w:val="0"/>
          <w:marRight w:val="0"/>
          <w:marTop w:val="0"/>
          <w:marBottom w:val="20"/>
          <w:divBdr>
            <w:top w:val="none" w:sz="0" w:space="0" w:color="auto"/>
            <w:left w:val="none" w:sz="0" w:space="0" w:color="auto"/>
            <w:bottom w:val="none" w:sz="0" w:space="0" w:color="auto"/>
            <w:right w:val="none" w:sz="0" w:space="0" w:color="auto"/>
          </w:divBdr>
        </w:div>
        <w:div w:id="875889064">
          <w:marLeft w:val="0"/>
          <w:marRight w:val="0"/>
          <w:marTop w:val="0"/>
          <w:marBottom w:val="20"/>
          <w:divBdr>
            <w:top w:val="none" w:sz="0" w:space="0" w:color="auto"/>
            <w:left w:val="none" w:sz="0" w:space="0" w:color="auto"/>
            <w:bottom w:val="none" w:sz="0" w:space="0" w:color="auto"/>
            <w:right w:val="none" w:sz="0" w:space="0" w:color="auto"/>
          </w:divBdr>
        </w:div>
        <w:div w:id="185026982">
          <w:marLeft w:val="0"/>
          <w:marRight w:val="0"/>
          <w:marTop w:val="0"/>
          <w:marBottom w:val="20"/>
          <w:divBdr>
            <w:top w:val="none" w:sz="0" w:space="0" w:color="auto"/>
            <w:left w:val="none" w:sz="0" w:space="0" w:color="auto"/>
            <w:bottom w:val="none" w:sz="0" w:space="0" w:color="auto"/>
            <w:right w:val="none" w:sz="0" w:space="0" w:color="auto"/>
          </w:divBdr>
        </w:div>
        <w:div w:id="37821411">
          <w:marLeft w:val="0"/>
          <w:marRight w:val="0"/>
          <w:marTop w:val="0"/>
          <w:marBottom w:val="20"/>
          <w:divBdr>
            <w:top w:val="none" w:sz="0" w:space="0" w:color="auto"/>
            <w:left w:val="none" w:sz="0" w:space="0" w:color="auto"/>
            <w:bottom w:val="none" w:sz="0" w:space="0" w:color="auto"/>
            <w:right w:val="none" w:sz="0" w:space="0" w:color="auto"/>
          </w:divBdr>
        </w:div>
        <w:div w:id="18872573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theme" Target="theme/theme1.xml"/><Relationship Id="rId7" Type="http://schemas.openxmlformats.org/officeDocument/2006/relationships/hyperlink" Target="http://entilocali.leggiditalia.it/"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2" Type="http://schemas.openxmlformats.org/officeDocument/2006/relationships/settings" Target="settings.xml"/><Relationship Id="rId16"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 Type="http://schemas.openxmlformats.org/officeDocument/2006/relationships/hyperlink" Target="http://entilocali.leggiditalia.it/" TargetMode="Externa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4" Type="http://schemas.openxmlformats.org/officeDocument/2006/relationships/hyperlink" Target="http://entilocali.leggiditalia.it/" TargetMode="External"/><Relationship Id="rId9" Type="http://schemas.openxmlformats.org/officeDocument/2006/relationships/hyperlink" Target="http://entilocali.leggiditalia.it/" TargetMode="External"/><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8" Type="http://schemas.openxmlformats.org/officeDocument/2006/relationships/hyperlink" Target="http://entilocali.leggiditalia.it/" TargetMode="External"/><Relationship Id="rId51" Type="http://schemas.openxmlformats.org/officeDocument/2006/relationships/hyperlink" Target="http://entilocali.leggiditalia.it/" TargetMode="External"/><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3652</Words>
  <Characters>20821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Burzilleri</dc:creator>
  <cp:keywords/>
  <dc:description/>
  <cp:lastModifiedBy>Liliana Burzilleri</cp:lastModifiedBy>
  <cp:revision>3</cp:revision>
  <cp:lastPrinted>2017-12-06T16:05:00Z</cp:lastPrinted>
  <dcterms:created xsi:type="dcterms:W3CDTF">2017-11-16T14:16:00Z</dcterms:created>
  <dcterms:modified xsi:type="dcterms:W3CDTF">2017-12-11T11:37:00Z</dcterms:modified>
</cp:coreProperties>
</file>