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7438" w14:textId="3CE19CBB" w:rsidR="00FA2238" w:rsidRPr="00FA2238" w:rsidRDefault="00FA2238" w:rsidP="00FA223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</w:pPr>
      <w:r w:rsidRPr="00FA2238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  <w:t>DHUNA NË FAMILJE: MASAT/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  <w:t>ZGJIDHJET</w:t>
      </w:r>
      <w:r w:rsidRPr="00FA2238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  <w:t xml:space="preserve"> SIPAS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  <w:t>S</w:t>
      </w:r>
      <w:r w:rsidRPr="00FA2238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lang w:val="sq-AL"/>
        </w:rPr>
        <w:t>Ë DREJTËS PENALE</w:t>
      </w:r>
    </w:p>
    <w:p w14:paraId="21315EC4" w14:textId="77777777" w:rsidR="00FA2238" w:rsidRDefault="00FA2238" w:rsidP="00FA22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14:paraId="21B9506D" w14:textId="0DF23D96" w:rsidR="00FA2238" w:rsidRPr="00FA2238" w:rsidRDefault="00FA2238" w:rsidP="00FA2238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val="sq-AL"/>
        </w:rPr>
      </w:pP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val="sq-AL"/>
        </w:rPr>
        <w:t>BURIMET E LEGJISLACIONIT LIDHUR ME DHUNËN</w:t>
      </w:r>
    </w:p>
    <w:p w14:paraId="5D4F3565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Konventa për eliminimin e të gjitha formave të diskriminimit ndaj Grave (CEDAW), miratuar nga Asambleja e Përgjithshme e Kombeve të Bashkuara më 18 dhjetor 1979 dhe </w:t>
      </w:r>
      <w:r w:rsidRPr="00B416E5">
        <w:rPr>
          <w:rFonts w:ascii="Times New Roman" w:hAnsi="Times New Roman" w:cs="Times New Roman"/>
          <w:sz w:val="24"/>
          <w:szCs w:val="24"/>
          <w:lang w:val="sq-AL"/>
        </w:rPr>
        <w:t>ratifikuar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nga Italia me ligjin nr. 132/1985</w:t>
      </w:r>
    </w:p>
    <w:p w14:paraId="42C04EB0" w14:textId="559F7EF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Konventa Evropiane për Mbrojtjen e të Drejtave dhe Lirive Themelore të Njeriut (</w:t>
      </w:r>
      <w:r w:rsidR="00B416E5">
        <w:rPr>
          <w:rFonts w:ascii="Times New Roman" w:hAnsi="Times New Roman" w:cs="Times New Roman"/>
          <w:sz w:val="24"/>
          <w:szCs w:val="24"/>
          <w:lang w:val="sq-AL"/>
        </w:rPr>
        <w:t>CEDU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>), miratuar në Romë m</w:t>
      </w:r>
      <w:r w:rsidR="00B416E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4 nëntor 1950 nga Këshilli Evrop</w:t>
      </w:r>
      <w:r w:rsidR="00B416E5">
        <w:rPr>
          <w:rFonts w:ascii="Times New Roman" w:hAnsi="Times New Roman" w:cs="Times New Roman"/>
          <w:sz w:val="24"/>
          <w:szCs w:val="24"/>
          <w:lang w:val="sq-AL"/>
        </w:rPr>
        <w:t>ian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>, ratifikuar nga Italia me ligjin nr. 848/1955</w:t>
      </w:r>
    </w:p>
    <w:p w14:paraId="66979E76" w14:textId="4FBDF85D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Konventa e Këshillit Evrop</w:t>
      </w:r>
      <w:r w:rsidR="00B416E5">
        <w:rPr>
          <w:rFonts w:ascii="Times New Roman" w:hAnsi="Times New Roman" w:cs="Times New Roman"/>
          <w:sz w:val="24"/>
          <w:szCs w:val="24"/>
          <w:lang w:val="sq-AL"/>
        </w:rPr>
        <w:t>ian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për parandalimin dhe luftimin e dhunës ndaj grave dhe dhunës në familje, miratuar në vitin 2011, </w:t>
      </w:r>
      <w:r w:rsidRPr="00B416E5">
        <w:rPr>
          <w:rFonts w:ascii="Times New Roman" w:hAnsi="Times New Roman" w:cs="Times New Roman"/>
          <w:sz w:val="24"/>
          <w:szCs w:val="24"/>
          <w:lang w:val="sq-AL"/>
        </w:rPr>
        <w:t>ratifikuar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nga Italia me ligjin nr. 77/2013, i cili hyri në fuqi më 1 gusht 2014 (e njohur si Konventa e Stambollit</w:t>
      </w:r>
      <w:r w:rsidR="0073375B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F73DA8" w:rsidRPr="00FA22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375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emrin e qytetit ku u </w:t>
      </w:r>
      <w:r>
        <w:rPr>
          <w:rFonts w:ascii="Times New Roman" w:hAnsi="Times New Roman" w:cs="Times New Roman"/>
          <w:sz w:val="24"/>
          <w:szCs w:val="24"/>
          <w:lang w:val="sq-AL"/>
        </w:rPr>
        <w:t>mbajt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për nënshkrim më 11 maj 2011)</w:t>
      </w:r>
    </w:p>
    <w:p w14:paraId="61A6FD9D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Traktati për Bashkimin Evropian (nenet 2 dhe 3 § 3)</w:t>
      </w:r>
    </w:p>
    <w:p w14:paraId="5E5C6DB0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Karta e të Drejtave Themelore (neni 21) dhe Traktati për Funksionimin e Bashkimit Evropian, për të cilat e drejta për trajtim të barabartë dhe mosdiskriminim është një parim themelor (neni 8)</w:t>
      </w:r>
    </w:p>
    <w:p w14:paraId="1AE8EA3B" w14:textId="37F50F10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Direktiva 2012/29/</w:t>
      </w:r>
      <w:r>
        <w:rPr>
          <w:rFonts w:ascii="Times New Roman" w:hAnsi="Times New Roman" w:cs="Times New Roman"/>
          <w:sz w:val="24"/>
          <w:szCs w:val="24"/>
          <w:lang w:val="sq-AL"/>
        </w:rPr>
        <w:t>UE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e datës 25 tetor 2012 që përcakton standardet minimale në lidhje me të drejtat, ndihmën dhe mbrojtjen e viktimave të krimit (zbatuar nga Italia me Dekretin Legjislativ nr. 212/2015, i cili ka hyrë në fuqi më 20 janar 2016), dhe që, në </w:t>
      </w:r>
      <w:r w:rsidR="0073375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3375B">
        <w:rPr>
          <w:rFonts w:ascii="Times New Roman" w:hAnsi="Times New Roman" w:cs="Times New Roman"/>
          <w:sz w:val="24"/>
          <w:szCs w:val="24"/>
          <w:lang w:val="sq-AL"/>
        </w:rPr>
        <w:t>ecitalin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nr. 17 dhe 18, jep përkufizimet e dhunës gjinore dhe dhunës së kryer </w:t>
      </w:r>
      <w:r w:rsidRPr="00BF309E">
        <w:rPr>
          <w:rFonts w:ascii="Times New Roman" w:hAnsi="Times New Roman" w:cs="Times New Roman"/>
          <w:sz w:val="24"/>
          <w:szCs w:val="24"/>
          <w:lang w:val="sq-AL"/>
        </w:rPr>
        <w:t>brenda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familjes</w:t>
      </w:r>
      <w:r w:rsidR="0073375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46EA57C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66/1996 Rregullat kundër dhunës seksuale</w:t>
      </w:r>
    </w:p>
    <w:p w14:paraId="53CF6DE6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154/2001 Masat kundër dhunës në marrëdhëniet familjare</w:t>
      </w:r>
    </w:p>
    <w:p w14:paraId="57B7E11A" w14:textId="0BD72BF6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38/2009 Masat urgjente për sigurinë publike dhe luftimin e dhunës seksuale, si dhe aktet e përndjekjes (</w:t>
      </w:r>
      <w:r>
        <w:rPr>
          <w:rFonts w:ascii="Times New Roman" w:hAnsi="Times New Roman" w:cs="Times New Roman"/>
          <w:sz w:val="24"/>
          <w:szCs w:val="24"/>
          <w:lang w:val="sq-AL"/>
        </w:rPr>
        <w:t>stalking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44438666" w14:textId="409975ED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172/2012 për ratifikimin dhe zbatimin e Konventës së Këshillit Evrop</w:t>
      </w:r>
      <w:r>
        <w:rPr>
          <w:rFonts w:ascii="Times New Roman" w:hAnsi="Times New Roman" w:cs="Times New Roman"/>
          <w:sz w:val="24"/>
          <w:szCs w:val="24"/>
          <w:lang w:val="sq-AL"/>
        </w:rPr>
        <w:t>ian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miturve nga shfrytëzimi dhe abuzimi seksual (e ashtuquajtura Konventa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>Lanzarot</w:t>
      </w:r>
      <w:r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), e cila ndërhyri edhe në fushën e </w:t>
      </w:r>
      <w:r>
        <w:rPr>
          <w:rFonts w:ascii="Times New Roman" w:hAnsi="Times New Roman" w:cs="Times New Roman"/>
          <w:sz w:val="24"/>
          <w:szCs w:val="24"/>
          <w:lang w:val="sq-AL"/>
        </w:rPr>
        <w:t>keqtrajtimi</w:t>
      </w:r>
      <w:r w:rsidR="0073375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A2238">
        <w:rPr>
          <w:rFonts w:ascii="Times New Roman" w:hAnsi="Times New Roman" w:cs="Times New Roman"/>
          <w:sz w:val="24"/>
          <w:szCs w:val="24"/>
          <w:lang w:val="sq-AL"/>
        </w:rPr>
        <w:t xml:space="preserve"> ndaj anëtarëve të familjes dhe bashkëjetuesve dhe dhunës së dëshmuar nga të miturit.</w:t>
      </w:r>
    </w:p>
    <w:p w14:paraId="6D87DCBB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119/2013 Dispozita urgjente për sigurinë dhe për luftën kundër dhunës gjinore (i ashtuquajturi ligji për femicidin)</w:t>
      </w:r>
    </w:p>
    <w:p w14:paraId="102BDE6F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2238">
        <w:rPr>
          <w:rFonts w:ascii="Times New Roman" w:hAnsi="Times New Roman" w:cs="Times New Roman"/>
          <w:sz w:val="24"/>
          <w:szCs w:val="24"/>
          <w:lang w:val="sq-AL"/>
        </w:rPr>
        <w:t>Ligji nr. 4/2018 Ndryshimet në kodin civil, kodin penal, kodin e procedurës penale dhe dispozita të tjera në favor të jetimëve për krime në familje, hyrë në fuqi më 16 shkurt 2018.</w:t>
      </w:r>
    </w:p>
    <w:p w14:paraId="7E00FC65" w14:textId="1A42A09E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nr. 69/2019 </w:t>
      </w:r>
      <w:r w:rsidR="0073375B">
        <w:rPr>
          <w:rFonts w:ascii="Times New Roman" w:hAnsi="Times New Roman" w:cs="Times New Roman"/>
          <w:sz w:val="24"/>
          <w:szCs w:val="24"/>
        </w:rPr>
        <w:t>i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ashtuquajtur</w:t>
      </w:r>
      <w:r w:rsidR="007337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kuq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"</w:t>
      </w:r>
    </w:p>
    <w:p w14:paraId="06DFB81D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nr. 4/2021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ratifikimin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Konventës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nr. 190/2019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eliminimin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FA6E91B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nr. 7/2006 "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gjymtimit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gjenital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femëror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"</w:t>
      </w:r>
    </w:p>
    <w:p w14:paraId="51498FF7" w14:textId="3F707BCC" w:rsidR="00FA2238" w:rsidRPr="00FA2238" w:rsidRDefault="00FA2238" w:rsidP="00FA2238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ÇFARË ËSHTË DHUNA NË FAMILJE DHE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AJO</w:t>
      </w: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GJINORE?</w:t>
      </w:r>
    </w:p>
    <w:p w14:paraId="0E24EACC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Abuzimi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39505573" w14:textId="1C0BFF6B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viti 2019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nr. 69/2019,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Kuq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përshpejtuar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penale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krimeve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keqtrajtimit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përndjekjes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ashtuquajturave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vulnerabël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7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375B">
        <w:rPr>
          <w:rFonts w:ascii="Times New Roman" w:hAnsi="Times New Roman" w:cs="Times New Roman"/>
          <w:sz w:val="24"/>
          <w:szCs w:val="24"/>
        </w:rPr>
        <w:t>t</w:t>
      </w:r>
      <w:r w:rsidR="0073375B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33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75B">
        <w:rPr>
          <w:rFonts w:ascii="Times New Roman" w:hAnsi="Times New Roman" w:cs="Times New Roman"/>
          <w:sz w:val="24"/>
          <w:szCs w:val="24"/>
        </w:rPr>
        <w:t>dob</w:t>
      </w:r>
      <w:r w:rsidR="0073375B" w:rsidRPr="00FA2238">
        <w:rPr>
          <w:rFonts w:ascii="Times New Roman" w:hAnsi="Times New Roman" w:cs="Times New Roman"/>
          <w:sz w:val="24"/>
          <w:szCs w:val="24"/>
        </w:rPr>
        <w:t>ë</w:t>
      </w:r>
      <w:r w:rsidRPr="0073375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3375B">
        <w:rPr>
          <w:rFonts w:ascii="Times New Roman" w:hAnsi="Times New Roman" w:cs="Times New Roman"/>
          <w:sz w:val="24"/>
          <w:szCs w:val="24"/>
        </w:rPr>
        <w:t>):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invalidë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733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ADF3D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lejohet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sistemi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2283056C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befasuese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keqtrajtimi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dënohet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sistemi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1773C70B" w14:textId="50717A41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Problemi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denoncojm</w:t>
      </w:r>
      <w:proofErr w:type="spellEnd"/>
      <w:r w:rsidR="00F73DA8" w:rsidRPr="00FA223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abuzimin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pësuar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4FA7BD6C" w14:textId="2C6BFC43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gjithash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dallimi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midis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formave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dënohen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F73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BC90" w14:textId="13525DDA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gjithash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kuptohet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forcës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29C0C278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hipotezë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:</w:t>
      </w:r>
    </w:p>
    <w:p w14:paraId="62F14DA2" w14:textId="77777777" w:rsidR="00FA2238" w:rsidRPr="00FA2238" w:rsidRDefault="00FA2238" w:rsidP="00FA223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rrahje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;</w:t>
      </w:r>
    </w:p>
    <w:p w14:paraId="5E3C2A19" w14:textId="77777777" w:rsidR="00FA2238" w:rsidRPr="00FA2238" w:rsidRDefault="00FA2238" w:rsidP="00FA223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lëndimet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personale,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ndëshkohen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pasojave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4527F0A6" w14:textId="1FC62CFF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konsistojë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abuzime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dikë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tjerëve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mësues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instruktorë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kujdestarë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tilla,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484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="0073375B">
        <w:rPr>
          <w:rFonts w:ascii="Times New Roman" w:hAnsi="Times New Roman" w:cs="Times New Roman"/>
          <w:sz w:val="24"/>
          <w:szCs w:val="24"/>
        </w:rPr>
        <w:t xml:space="preserve"> </w:t>
      </w:r>
      <w:r w:rsidR="008B0484">
        <w:rPr>
          <w:rFonts w:ascii="Times New Roman" w:hAnsi="Times New Roman" w:cs="Times New Roman"/>
          <w:sz w:val="24"/>
          <w:szCs w:val="24"/>
        </w:rPr>
        <w:t>si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keqtrajtimit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familjarëve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bashkëjetuesve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572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penal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).</w:t>
      </w:r>
    </w:p>
    <w:p w14:paraId="2847FBE7" w14:textId="59D2BEC8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fundi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natyrës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r w:rsidRPr="00BF309E">
        <w:rPr>
          <w:rFonts w:ascii="Times New Roman" w:hAnsi="Times New Roman" w:cs="Times New Roman"/>
          <w:sz w:val="24"/>
          <w:szCs w:val="24"/>
        </w:rPr>
        <w:t>d</w:t>
      </w:r>
      <w:r w:rsidR="00F73DA8" w:rsidRPr="00BF309E">
        <w:rPr>
          <w:rFonts w:ascii="Times New Roman" w:hAnsi="Times New Roman" w:cs="Times New Roman"/>
          <w:sz w:val="24"/>
          <w:szCs w:val="24"/>
          <w:lang w:val="sq-AL"/>
        </w:rPr>
        <w:t>e</w:t>
      </w:r>
      <w:proofErr w:type="spellStart"/>
      <w:r w:rsidRPr="00BF309E">
        <w:rPr>
          <w:rFonts w:ascii="Times New Roman" w:hAnsi="Times New Roman" w:cs="Times New Roman"/>
          <w:sz w:val="24"/>
          <w:szCs w:val="24"/>
        </w:rPr>
        <w:t>tyrohet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krye</w:t>
      </w:r>
      <w:r w:rsidR="008B048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609 bis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penal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)</w:t>
      </w:r>
      <w:r w:rsidR="00F73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7A076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nënkuptojmë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përfshirje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pjesëve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përkufizohen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si zona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erogjene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0FF3BD04" w14:textId="554FF08D" w:rsidR="00FA2238" w:rsidRPr="00FA2238" w:rsidRDefault="00FA2238" w:rsidP="00FA2238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KUSH MUND TË </w:t>
      </w:r>
      <w:r w:rsidR="008B0484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DENONCOJ</w:t>
      </w:r>
      <w:r w:rsidR="00F73DA8"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="008B0484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KËTË LLOJ KRIMI DHE BRENDA SA KOH</w:t>
      </w:r>
      <w:r w:rsidR="00970B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E</w:t>
      </w:r>
      <w:r w:rsidRPr="00FA22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?</w:t>
      </w:r>
    </w:p>
    <w:p w14:paraId="14A6F688" w14:textId="15162126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B0484">
        <w:rPr>
          <w:rFonts w:ascii="Times New Roman" w:hAnsi="Times New Roman" w:cs="Times New Roman"/>
          <w:sz w:val="24"/>
          <w:szCs w:val="24"/>
        </w:rPr>
        <w:t>l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r w:rsidR="008B0484">
        <w:rPr>
          <w:rFonts w:ascii="Times New Roman" w:hAnsi="Times New Roman" w:cs="Times New Roman"/>
          <w:sz w:val="24"/>
          <w:szCs w:val="24"/>
        </w:rPr>
        <w:t>nduar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ndi</w:t>
      </w:r>
      <w:r w:rsidR="00F73DA8">
        <w:rPr>
          <w:rFonts w:ascii="Times New Roman" w:hAnsi="Times New Roman" w:cs="Times New Roman"/>
          <w:sz w:val="24"/>
          <w:szCs w:val="24"/>
        </w:rPr>
        <w:t>e</w:t>
      </w:r>
      <w:r w:rsidRPr="00FA2238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 w:rsidRPr="008B0484">
        <w:rPr>
          <w:rFonts w:ascii="Times New Roman" w:hAnsi="Times New Roman" w:cs="Times New Roman"/>
          <w:sz w:val="24"/>
          <w:szCs w:val="24"/>
        </w:rPr>
        <w:t>t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70B3B" w:rsidRPr="008B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484">
        <w:rPr>
          <w:rFonts w:ascii="Times New Roman" w:hAnsi="Times New Roman" w:cs="Times New Roman"/>
          <w:sz w:val="24"/>
          <w:szCs w:val="24"/>
        </w:rPr>
        <w:t>denoncoj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kompetent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r w:rsidR="00970B3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B0484">
        <w:rPr>
          <w:rFonts w:ascii="Times New Roman" w:hAnsi="Times New Roman" w:cs="Times New Roman"/>
          <w:sz w:val="24"/>
          <w:szCs w:val="24"/>
        </w:rPr>
        <w:t>Q</w:t>
      </w:r>
      <w:r w:rsidR="00970B3B">
        <w:rPr>
          <w:rFonts w:ascii="Times New Roman" w:hAnsi="Times New Roman" w:cs="Times New Roman"/>
          <w:sz w:val="24"/>
          <w:szCs w:val="24"/>
        </w:rPr>
        <w:t>ytetit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)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avokati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F73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C7C19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raportohet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dymbëdhjetë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muajve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fillimi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6541A9DD" w14:textId="66EC21A6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bashkëjeton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domosdoshmërisht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bashkëshorti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çdokush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denonc</w:t>
      </w:r>
      <w:r w:rsidR="008B0484">
        <w:rPr>
          <w:rFonts w:ascii="Times New Roman" w:hAnsi="Times New Roman" w:cs="Times New Roman"/>
          <w:sz w:val="24"/>
          <w:szCs w:val="24"/>
        </w:rPr>
        <w:t>oj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aksidentalisht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ndiqet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F73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E7ADF" w14:textId="07D293CA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keqtrajtimit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familjarëve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bashkëjetuesve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ndiqet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penalisht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çdokush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denoncim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polici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0F0" w:rsidRPr="00FA2238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F720F0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 w:rsidRPr="00FA2238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="00F720F0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 w:rsidRPr="00FA2238">
        <w:rPr>
          <w:rFonts w:ascii="Times New Roman" w:hAnsi="Times New Roman" w:cs="Times New Roman"/>
          <w:sz w:val="24"/>
          <w:szCs w:val="24"/>
        </w:rPr>
        <w:t>kufizim</w:t>
      </w:r>
      <w:proofErr w:type="spellEnd"/>
      <w:r w:rsidR="00F720F0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 w:rsidRPr="00FA2238">
        <w:rPr>
          <w:rFonts w:ascii="Times New Roman" w:hAnsi="Times New Roman" w:cs="Times New Roman"/>
          <w:sz w:val="24"/>
          <w:szCs w:val="24"/>
        </w:rPr>
        <w:t>kohor</w:t>
      </w:r>
      <w:proofErr w:type="spellEnd"/>
      <w:r w:rsidR="00F72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="00F7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totalisht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palidhur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familje</w:t>
      </w:r>
      <w:r w:rsidR="00F720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7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>
        <w:rPr>
          <w:rFonts w:ascii="Times New Roman" w:hAnsi="Times New Roman" w:cs="Times New Roman"/>
          <w:sz w:val="24"/>
          <w:szCs w:val="24"/>
        </w:rPr>
        <w:t>n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F0">
        <w:rPr>
          <w:rFonts w:ascii="Times New Roman" w:hAnsi="Times New Roman" w:cs="Times New Roman"/>
          <w:sz w:val="24"/>
          <w:szCs w:val="24"/>
        </w:rPr>
        <w:t>fjal</w:t>
      </w:r>
      <w:r w:rsidR="00F73DA8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635C92F4" w14:textId="09515F16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lastRenderedPageBreak/>
        <w:t xml:space="preserve">Pasi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970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padija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denoncim</w:t>
      </w:r>
      <w:r w:rsidR="00F720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prova.</w:t>
      </w:r>
    </w:p>
    <w:p w14:paraId="717E8197" w14:textId="68A4943E" w:rsidR="00FA2238" w:rsidRPr="00FA2238" w:rsidRDefault="00F720F0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Pr="00FA22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ankesën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A22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nduar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faktet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prokurorit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gojarisht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para se t'i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zakonshëm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lajmit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krimin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E6DBA" w14:textId="31F937B5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denoncimin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faktit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veprën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penale,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hetimeve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A2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250CA2">
        <w:rPr>
          <w:rFonts w:ascii="Times New Roman" w:hAnsi="Times New Roman" w:cs="Times New Roman"/>
          <w:sz w:val="24"/>
          <w:szCs w:val="24"/>
        </w:rPr>
        <w:t>,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q</w:t>
      </w:r>
      <w:r w:rsidR="00250CA2" w:rsidRPr="00FA22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70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3B">
        <w:rPr>
          <w:rFonts w:ascii="Times New Roman" w:hAnsi="Times New Roman" w:cs="Times New Roman"/>
          <w:sz w:val="24"/>
          <w:szCs w:val="24"/>
        </w:rPr>
        <w:t>sh</w:t>
      </w:r>
      <w:r w:rsidR="00250CA2" w:rsidRPr="00FA2238">
        <w:rPr>
          <w:rFonts w:ascii="Times New Roman" w:hAnsi="Times New Roman" w:cs="Times New Roman"/>
          <w:sz w:val="24"/>
          <w:szCs w:val="24"/>
        </w:rPr>
        <w:t>ë</w:t>
      </w:r>
      <w:r w:rsidR="00970B3B">
        <w:rPr>
          <w:rFonts w:ascii="Times New Roman" w:hAnsi="Times New Roman" w:cs="Times New Roman"/>
          <w:sz w:val="24"/>
          <w:szCs w:val="24"/>
        </w:rPr>
        <w:t>rben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hetime</w:t>
      </w:r>
      <w:r w:rsidR="00970B3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Prokurori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250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43363" w14:textId="69AA4469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38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prokurori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dëgjojë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0CA2">
        <w:rPr>
          <w:rFonts w:ascii="Times New Roman" w:hAnsi="Times New Roman" w:cs="Times New Roman"/>
          <w:sz w:val="24"/>
          <w:szCs w:val="24"/>
        </w:rPr>
        <w:t>l</w:t>
      </w:r>
      <w:r w:rsidR="00BF309E" w:rsidRPr="00FA2238">
        <w:rPr>
          <w:rFonts w:ascii="Times New Roman" w:hAnsi="Times New Roman" w:cs="Times New Roman"/>
          <w:sz w:val="24"/>
          <w:szCs w:val="24"/>
        </w:rPr>
        <w:t>ë</w:t>
      </w:r>
      <w:r w:rsidR="00250CA2">
        <w:rPr>
          <w:rFonts w:ascii="Times New Roman" w:hAnsi="Times New Roman" w:cs="Times New Roman"/>
          <w:sz w:val="24"/>
          <w:szCs w:val="24"/>
        </w:rPr>
        <w:t>nduar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9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tr</w:t>
      </w:r>
      <w:r w:rsidR="00250CA2">
        <w:rPr>
          <w:rFonts w:ascii="Times New Roman" w:hAnsi="Times New Roman" w:cs="Times New Roman"/>
          <w:sz w:val="24"/>
          <w:szCs w:val="24"/>
        </w:rPr>
        <w:t>i</w:t>
      </w:r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5F344D5B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zgjatet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konfidencialitetin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74888794" w14:textId="001A5837" w:rsidR="00FA2238" w:rsidRPr="00FA2238" w:rsidRDefault="00250CA2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hetimeve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vlefshmërisë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kallëzimit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krimit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>.</w:t>
      </w:r>
    </w:p>
    <w:p w14:paraId="34C62BB5" w14:textId="14ECA17B" w:rsidR="00FA2238" w:rsidRPr="00FA2238" w:rsidRDefault="00250CA2" w:rsidP="00FA2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dëgjohen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faktet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dëshmojnë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gjykatë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cil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BF309E">
        <w:rPr>
          <w:rFonts w:ascii="Times New Roman" w:hAnsi="Times New Roman" w:cs="Times New Roman"/>
          <w:sz w:val="24"/>
          <w:szCs w:val="24"/>
        </w:rPr>
        <w:t>gj</w:t>
      </w:r>
      <w:r w:rsidR="00BF309E" w:rsidRPr="00BF309E">
        <w:rPr>
          <w:rFonts w:ascii="Times New Roman" w:hAnsi="Times New Roman" w:cs="Times New Roman"/>
          <w:sz w:val="24"/>
          <w:szCs w:val="24"/>
        </w:rPr>
        <w:t>e</w:t>
      </w:r>
      <w:r w:rsidR="00FA2238" w:rsidRPr="00BF309E">
        <w:rPr>
          <w:rFonts w:ascii="Times New Roman" w:hAnsi="Times New Roman" w:cs="Times New Roman"/>
          <w:sz w:val="24"/>
          <w:szCs w:val="24"/>
        </w:rPr>
        <w:t>ndje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saktësojë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ngjarjet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raportuar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238" w:rsidRPr="00FA2238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="00FA2238" w:rsidRPr="00FA2238">
        <w:rPr>
          <w:rFonts w:ascii="Times New Roman" w:hAnsi="Times New Roman" w:cs="Times New Roman"/>
          <w:sz w:val="24"/>
          <w:szCs w:val="24"/>
        </w:rPr>
        <w:t>.</w:t>
      </w:r>
    </w:p>
    <w:p w14:paraId="31878ACF" w14:textId="06F15F7F" w:rsidR="00FA2238" w:rsidRPr="00BF309E" w:rsidRDefault="00FA2238" w:rsidP="00FA2238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BF3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ÇFARË NDODH PAS PËRFUNDIMIT TË HETIMEVE TË PROKUROR</w:t>
      </w:r>
      <w:r w:rsidR="00970B3B" w:rsidRPr="00BF3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</w:t>
      </w:r>
      <w:r w:rsidRPr="00BF3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S</w:t>
      </w:r>
      <w:r w:rsidR="00BF309E" w:rsidRPr="00BF3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Pr="00BF3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PUBLIKE?</w:t>
      </w:r>
    </w:p>
    <w:p w14:paraId="37E4E8B0" w14:textId="0B7DDF01" w:rsidR="00FA2238" w:rsidRPr="003974F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hetimeve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përgjegjësia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penale 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raportuar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dhunë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prokurori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aktakuzës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akuzuarit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="00250CA2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p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r w:rsidR="00250CA2" w:rsidRPr="003974F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50CA2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hetim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r w:rsidR="00821D91" w:rsidRPr="003974F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n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k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r w:rsidR="00821D91" w:rsidRPr="003974F8">
        <w:rPr>
          <w:rFonts w:ascii="Times New Roman" w:hAnsi="Times New Roman" w:cs="Times New Roman"/>
          <w:sz w:val="24"/>
          <w:szCs w:val="24"/>
        </w:rPr>
        <w:t>t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viktim</w:t>
      </w:r>
      <w:r w:rsidR="00821D91" w:rsidRPr="003974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t</w:t>
      </w:r>
      <w:r w:rsidR="00250CA2" w:rsidRPr="003974F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drejtohet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="00250CA2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A2" w:rsidRPr="003974F8">
        <w:rPr>
          <w:rFonts w:ascii="Times New Roman" w:hAnsi="Times New Roman" w:cs="Times New Roman"/>
          <w:sz w:val="24"/>
          <w:szCs w:val="24"/>
        </w:rPr>
        <w:t>kompetente</w:t>
      </w:r>
      <w:proofErr w:type="spellEnd"/>
      <w:r w:rsidR="00250CA2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shpërblimin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dëmit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avokati</w:t>
      </w:r>
      <w:proofErr w:type="spellEnd"/>
      <w:r w:rsidR="00250CA2" w:rsidRPr="003974F8">
        <w:rPr>
          <w:rFonts w:ascii="Times New Roman" w:hAnsi="Times New Roman" w:cs="Times New Roman"/>
          <w:sz w:val="24"/>
          <w:szCs w:val="24"/>
        </w:rPr>
        <w:t>,</w:t>
      </w:r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r w:rsidR="00821D91" w:rsidRPr="003974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përfitojë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>)</w:t>
      </w:r>
      <w:r w:rsidRPr="003974F8">
        <w:rPr>
          <w:rFonts w:ascii="Times New Roman" w:hAnsi="Times New Roman" w:cs="Times New Roman"/>
          <w:sz w:val="24"/>
          <w:szCs w:val="24"/>
        </w:rPr>
        <w:t>.</w:t>
      </w:r>
      <w:r w:rsidR="00397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F7855" w14:textId="57991559" w:rsidR="00FA2238" w:rsidRPr="003974F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4F8">
        <w:rPr>
          <w:rFonts w:ascii="Times New Roman" w:hAnsi="Times New Roman" w:cs="Times New Roman"/>
          <w:sz w:val="24"/>
          <w:szCs w:val="24"/>
        </w:rPr>
        <w:t>Viktimat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t</w:t>
      </w:r>
      <w:r w:rsidR="00821D91" w:rsidRPr="003974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p</w:t>
      </w:r>
      <w:r w:rsidR="00821D91" w:rsidRPr="003974F8">
        <w:rPr>
          <w:rFonts w:ascii="Times New Roman" w:hAnsi="Times New Roman" w:cs="Times New Roman"/>
          <w:sz w:val="24"/>
          <w:szCs w:val="24"/>
        </w:rPr>
        <w:t>ë</w:t>
      </w:r>
      <w:r w:rsidR="00320918" w:rsidRPr="003974F8">
        <w:rPr>
          <w:rFonts w:ascii="Times New Roman" w:hAnsi="Times New Roman" w:cs="Times New Roman"/>
          <w:sz w:val="24"/>
          <w:szCs w:val="24"/>
        </w:rPr>
        <w:t>rfitojn</w:t>
      </w:r>
      <w:r w:rsidR="00821D91" w:rsidRPr="003974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shtet</w:t>
      </w:r>
      <w:r w:rsidR="00821D91" w:rsidRPr="003974F8">
        <w:rPr>
          <w:rFonts w:ascii="Times New Roman" w:hAnsi="Times New Roman" w:cs="Times New Roman"/>
          <w:sz w:val="24"/>
          <w:szCs w:val="24"/>
        </w:rPr>
        <w:t>ë</w:t>
      </w:r>
      <w:r w:rsidR="00320918" w:rsidRPr="003974F8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p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r w:rsidR="00320918" w:rsidRPr="003974F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juridikisht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>,</w:t>
      </w:r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>,</w:t>
      </w:r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krime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91"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abuzimit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përndjekjes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18" w:rsidRPr="003974F8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krime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r w:rsidR="00320918" w:rsidRPr="003974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skllavërimit</w:t>
      </w:r>
      <w:proofErr w:type="spellEnd"/>
      <w:r w:rsidR="00320918" w:rsidRPr="003974F8">
        <w:rPr>
          <w:rFonts w:ascii="Times New Roman" w:hAnsi="Times New Roman" w:cs="Times New Roman"/>
          <w:sz w:val="24"/>
          <w:szCs w:val="24"/>
        </w:rPr>
        <w:t>”</w:t>
      </w:r>
      <w:r w:rsidRPr="0039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prostitucionit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F8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="00821D91" w:rsidRPr="003974F8">
        <w:rPr>
          <w:rFonts w:ascii="Times New Roman" w:hAnsi="Times New Roman" w:cs="Times New Roman"/>
          <w:sz w:val="24"/>
          <w:szCs w:val="24"/>
        </w:rPr>
        <w:t xml:space="preserve">. </w:t>
      </w:r>
      <w:r w:rsidR="00397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85143" w14:textId="647A8FD2" w:rsidR="00FA2238" w:rsidRPr="003974F8" w:rsidRDefault="00FA2238" w:rsidP="00FA2238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A MUND TË KËRKOJË PERSONI I 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L</w:t>
      </w:r>
      <w:r w:rsidR="003974F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NDUAR ZBATIMIN E MAS</w:t>
      </w:r>
      <w:r w:rsidR="003974F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S MBROJTESE</w:t>
      </w:r>
      <w:r w:rsidR="00821D91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P</w:t>
      </w:r>
      <w:r w:rsidR="003974F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RKUNDREJT KEQTRAJTUESIT T</w:t>
      </w:r>
      <w:r w:rsidR="003974F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Ë</w:t>
      </w:r>
      <w:r w:rsidR="00320918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TIJ</w:t>
      </w:r>
      <w:r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?</w:t>
      </w:r>
      <w:r w:rsidR="00821D91" w:rsidRPr="003974F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</w:p>
    <w:p w14:paraId="79D23EE5" w14:textId="0EFEC7F6" w:rsidR="00FA2238" w:rsidRPr="00B416E5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Prokurori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jetë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gjendje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vlerësojë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menjëherë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ekzistojnë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kushtet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gjyqtari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dhënien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masës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paraprake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siç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largimi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shtëpia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familjare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ose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ndalimi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afrimit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vendet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frekuentuara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viktima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C3C2F1" w14:textId="57888F87" w:rsidR="00FA2238" w:rsidRPr="00B416E5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parandaluar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procedurat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gjata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anu</w:t>
      </w:r>
      <w:r w:rsidR="00320918" w:rsidRPr="00B416E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16E5">
        <w:rPr>
          <w:rFonts w:ascii="Times New Roman" w:hAnsi="Times New Roman" w:cs="Times New Roman"/>
          <w:sz w:val="24"/>
          <w:szCs w:val="24"/>
          <w:lang w:val="en-US"/>
        </w:rPr>
        <w:t>lojnë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D91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dhunë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ose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përkeqësojnë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situatën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viktimave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cilat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shpesh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gjejnë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veten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mëshirën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torturuesve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pavarësisht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918" w:rsidRPr="00B416E5">
        <w:rPr>
          <w:rFonts w:ascii="Times New Roman" w:hAnsi="Times New Roman" w:cs="Times New Roman"/>
          <w:sz w:val="24"/>
          <w:szCs w:val="24"/>
          <w:lang w:val="en-US"/>
        </w:rPr>
        <w:t>padis</w:t>
      </w:r>
      <w:r w:rsidR="00821D91" w:rsidRPr="00821D91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mendoni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gruan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nuk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largohet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shtëpia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t'i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shpëtuar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burrit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dhunshëm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ligji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vendos</w:t>
      </w:r>
      <w:r w:rsidR="00320918" w:rsidRPr="00B416E5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disa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gjyqtari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t'i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para se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arrijë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dënimin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1D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E1A52D2" w14:textId="77777777" w:rsidR="00FA2238" w:rsidRPr="00B416E5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Kushdo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bërë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denoncim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dhunë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dëshiron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menjëherë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mbrojtje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kërkojë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zbatohet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masë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paraprake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mbrojë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80FC3" w14:textId="77777777" w:rsidR="00FA2238" w:rsidRPr="00B416E5" w:rsidRDefault="00FA2238" w:rsidP="00FA22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ekzistojnë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kushtet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autoriteti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gjyqësor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përdorë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masat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paraprake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BB1A500" w14:textId="0286F1AD" w:rsidR="00FA2238" w:rsidRPr="00B416E5" w:rsidRDefault="00FA2238" w:rsidP="00FA223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largimi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shtëpia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familjes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viktima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akuzuari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jetojnë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bashku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nën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njëjtën</w:t>
      </w:r>
      <w:proofErr w:type="spellEnd"/>
      <w:r w:rsidRPr="00B4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16E5">
        <w:rPr>
          <w:rFonts w:ascii="Times New Roman" w:hAnsi="Times New Roman" w:cs="Times New Roman"/>
          <w:sz w:val="24"/>
          <w:szCs w:val="24"/>
          <w:lang w:val="en-US"/>
        </w:rPr>
        <w:t>çati</w:t>
      </w:r>
      <w:proofErr w:type="spellEnd"/>
    </w:p>
    <w:p w14:paraId="7913BFE5" w14:textId="32498902" w:rsidR="00FA2238" w:rsidRPr="00FA2238" w:rsidRDefault="00FA2238" w:rsidP="00FA223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ndalimi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afrimit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frekuentuara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denoncuari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ndjekë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0918">
        <w:rPr>
          <w:rFonts w:ascii="Times New Roman" w:hAnsi="Times New Roman" w:cs="Times New Roman"/>
          <w:sz w:val="24"/>
          <w:szCs w:val="24"/>
        </w:rPr>
        <w:t>l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r w:rsidR="00320918">
        <w:rPr>
          <w:rFonts w:ascii="Times New Roman" w:hAnsi="Times New Roman" w:cs="Times New Roman"/>
          <w:sz w:val="24"/>
          <w:szCs w:val="24"/>
        </w:rPr>
        <w:t>nduar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05B5BEAA" w14:textId="3FE9216D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lastRenderedPageBreak/>
        <w:t>Masat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82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91">
        <w:rPr>
          <w:rFonts w:ascii="Times New Roman" w:hAnsi="Times New Roman" w:cs="Times New Roman"/>
          <w:sz w:val="24"/>
          <w:szCs w:val="24"/>
        </w:rPr>
        <w:t>mbrojt</w:t>
      </w:r>
      <w:r w:rsidR="003974F8" w:rsidRPr="003974F8">
        <w:rPr>
          <w:rFonts w:ascii="Times New Roman" w:hAnsi="Times New Roman" w:cs="Times New Roman"/>
          <w:sz w:val="24"/>
          <w:szCs w:val="24"/>
        </w:rPr>
        <w:t>ë</w:t>
      </w:r>
      <w:r w:rsidR="00821D9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,</w:t>
      </w:r>
      <w:r w:rsidR="00320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urdhërohen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gjyqtari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mendon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  <w:r w:rsidR="00821D91">
        <w:rPr>
          <w:rFonts w:ascii="Times New Roman" w:hAnsi="Times New Roman" w:cs="Times New Roman"/>
          <w:sz w:val="24"/>
          <w:szCs w:val="24"/>
        </w:rPr>
        <w:t xml:space="preserve"> </w:t>
      </w:r>
      <w:r w:rsidR="00397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026A6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veçanti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gjyqtari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indikacione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fajit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akuzuarit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përsërisë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0BB76C33" w14:textId="31E5C384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masës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zyrtarisht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Prokurori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hetimin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16BE955B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Gjyqtari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hetimeve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pranojë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subjekt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287479B6" w14:textId="1E39E2AA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menjëhershme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bashkëngjitni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gjithçka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demonstruar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dhuna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izoluar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por </w:t>
      </w:r>
      <w:r w:rsidR="002C148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përsërit</w:t>
      </w:r>
      <w:r w:rsidR="002C148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176DF0B2" w14:textId="77777777" w:rsidR="00FA2238" w:rsidRPr="00FA2238" w:rsidRDefault="00FA2238" w:rsidP="00FA2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mend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shkelja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387 bis i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penal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fut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forcuar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viktimave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Kuq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rezultuan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paefektshme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krimeve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38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FA2238">
        <w:rPr>
          <w:rFonts w:ascii="Times New Roman" w:hAnsi="Times New Roman" w:cs="Times New Roman"/>
          <w:sz w:val="24"/>
          <w:szCs w:val="24"/>
        </w:rPr>
        <w:t>.</w:t>
      </w:r>
    </w:p>
    <w:p w14:paraId="6FB78B44" w14:textId="77777777" w:rsidR="00334808" w:rsidRPr="00FA2238" w:rsidRDefault="00334808" w:rsidP="00FA2238">
      <w:pPr>
        <w:rPr>
          <w:rFonts w:ascii="Times New Roman" w:hAnsi="Times New Roman" w:cs="Times New Roman"/>
          <w:sz w:val="24"/>
          <w:szCs w:val="24"/>
        </w:rPr>
      </w:pPr>
    </w:p>
    <w:sectPr w:rsidR="00334808" w:rsidRPr="00FA2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7AE"/>
    <w:multiLevelType w:val="hybridMultilevel"/>
    <w:tmpl w:val="2F58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B6937"/>
    <w:multiLevelType w:val="hybridMultilevel"/>
    <w:tmpl w:val="5AA6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40570">
    <w:abstractNumId w:val="0"/>
  </w:num>
  <w:num w:numId="2" w16cid:durableId="60446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8"/>
    <w:rsid w:val="00250CA2"/>
    <w:rsid w:val="002C148D"/>
    <w:rsid w:val="00320918"/>
    <w:rsid w:val="00334808"/>
    <w:rsid w:val="003974F8"/>
    <w:rsid w:val="0073375B"/>
    <w:rsid w:val="00821D91"/>
    <w:rsid w:val="008B0484"/>
    <w:rsid w:val="00970B3B"/>
    <w:rsid w:val="00A40EEE"/>
    <w:rsid w:val="00B416E5"/>
    <w:rsid w:val="00BF309E"/>
    <w:rsid w:val="00F720F0"/>
    <w:rsid w:val="00F73DA8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34D2"/>
  <w15:chartTrackingRefBased/>
  <w15:docId w15:val="{9495A81C-7DB7-4A0F-9162-D1CAA3F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23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KETRIN</dc:creator>
  <cp:keywords/>
  <dc:description/>
  <cp:lastModifiedBy>RAMA KETRIN</cp:lastModifiedBy>
  <cp:revision>6</cp:revision>
  <dcterms:created xsi:type="dcterms:W3CDTF">2023-11-22T21:14:00Z</dcterms:created>
  <dcterms:modified xsi:type="dcterms:W3CDTF">2023-11-23T12:10:00Z</dcterms:modified>
</cp:coreProperties>
</file>