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مفيدة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اتفاقية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اسطنبول</w:t>
      </w:r>
      <w:r w:rsidDel="00000000" w:rsidR="00000000" w:rsidRPr="00000000">
        <w:rPr>
          <w:rtl w:val="1"/>
        </w:rPr>
        <w:t xml:space="preserve"> (2011) </w:t>
        <w:br w:type="textWrapping"/>
        <w:t xml:space="preserve">  </w:t>
      </w:r>
      <w:r w:rsidDel="00000000" w:rsidR="00000000" w:rsidRPr="00000000">
        <w:rPr>
          <w:color w:val="ffffff"/>
          <w:rtl w:val="1"/>
        </w:rPr>
        <w:t xml:space="preserve">ن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1"/>
        </w:rPr>
        <w:t xml:space="preserve">تعني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انتهاك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التمييز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الأذى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المعاناة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بطبيعتها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التهديد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الأفعال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1"/>
        </w:rPr>
        <w:t xml:space="preserve">الإكراه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التعسفي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0"/>
        </w:rPr>
        <w:t xml:space="preserve">؛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1"/>
        </w:rPr>
        <w:t xml:space="preserve">تشير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الأسري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والجنسي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الأزواج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بغض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الضحية</w:t>
      </w:r>
      <w:r w:rsidDel="00000000" w:rsidR="00000000" w:rsidRPr="00000000">
        <w:rPr>
          <w:rtl w:val="0"/>
        </w:rPr>
        <w:t xml:space="preserve">؛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1"/>
        </w:rPr>
        <w:t xml:space="preserve">يشير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مصطلح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الجنس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والسلوكيات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والهياكل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يعتبرها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والرجال</w:t>
      </w:r>
      <w:r w:rsidDel="00000000" w:rsidR="00000000" w:rsidRPr="00000000">
        <w:rPr>
          <w:rtl w:val="0"/>
        </w:rPr>
        <w:t xml:space="preserve">؛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1"/>
        </w:rPr>
        <w:t xml:space="preserve">يشير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مصطلح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</w:t>
      </w:r>
      <w:r w:rsidDel="00000000" w:rsidR="00000000" w:rsidRPr="00000000">
        <w:rPr>
          <w:rtl w:val="0"/>
        </w:rPr>
        <w:t xml:space="preserve">؛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tl w:val="1"/>
        </w:rPr>
        <w:t xml:space="preserve">الضحية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تعني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والسلوكيات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1"/>
        </w:rPr>
        <w:t xml:space="preserve">الفقرتان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2 </w:t>
      </w:r>
      <w:r w:rsidDel="00000000" w:rsidR="00000000" w:rsidRPr="00000000">
        <w:rPr>
          <w:rtl w:val="1"/>
        </w:rPr>
        <w:t xml:space="preserve">السابقتان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مصطلح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عشرة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18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والاقتصادي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والجنسي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تتعايش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دوامة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بالدري</w:t>
      </w:r>
      <w:r w:rsidDel="00000000" w:rsidR="00000000" w:rsidRPr="00000000">
        <w:rPr>
          <w:rtl w:val="0"/>
        </w:rPr>
        <w:t xml:space="preserve">، 2008).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1"/>
        </w:rPr>
        <w:t xml:space="preserve">يستوعب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tl w:val="1"/>
        </w:rPr>
        <w:t xml:space="preserve">التخويف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والتهديد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والمضايقة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وتشويه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الشريك</w:t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1"/>
        </w:rPr>
        <w:t xml:space="preserve">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الأصدقاء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والأقارب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والعادات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نفسها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الجسدي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1"/>
        </w:rPr>
        <w:t xml:space="preserve">ويكون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تخويفها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1"/>
        </w:rPr>
        <w:t xml:space="preserve">يسبب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إصابات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أضرار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فحسب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لتخويف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وترهيب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الضحية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</w:t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يرتكبها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أولئك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يستخدمون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وإكراه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جنسية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المواقف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</w:t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1"/>
        </w:rPr>
        <w:t xml:space="preserve">لتتمكن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المثال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1"/>
        </w:rPr>
        <w:t xml:space="preserve">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1"/>
        </w:rPr>
        <w:t xml:space="preserve">الحرمان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الرواتب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1"/>
        </w:rPr>
        <w:t xml:space="preserve">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1"/>
        </w:rPr>
        <w:t xml:space="preserve">المطاردة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الأفعال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الاضطهادية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1"/>
        </w:rPr>
        <w:t xml:space="preserve">ويشير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المتكررة</w:t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معتقداته</w:t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1"/>
        </w:rPr>
        <w:t xml:space="preserve">عادات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1"/>
        </w:rPr>
        <w:t xml:space="preserve">مكالمات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متواصلة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رسائل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بطاقات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خطابات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ملاحقات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مواعيد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هدايا</w:t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مرغوب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الخ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الإنترنت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والبريد</w:t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1"/>
        </w:rPr>
        <w:t xml:space="preserve">والإلكترونيات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والشبكات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المطاردة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الإنترنت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/>
      </w:pP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المشهود</w:t>
      </w:r>
    </w:p>
    <w:p w:rsidR="00000000" w:rsidDel="00000000" w:rsidP="00000000" w:rsidRDefault="00000000" w:rsidRPr="00000000" w14:paraId="00000033">
      <w:pPr>
        <w:jc w:val="right"/>
        <w:rPr/>
      </w:pPr>
      <w:r w:rsidDel="00000000" w:rsidR="00000000" w:rsidRPr="00000000">
        <w:rPr>
          <w:rtl w:val="1"/>
        </w:rPr>
        <w:t xml:space="preserve">ويحدث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والقاصرين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عنيف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</w:p>
    <w:p w:rsidR="00000000" w:rsidDel="00000000" w:rsidP="00000000" w:rsidRDefault="00000000" w:rsidRPr="00000000" w14:paraId="00000034">
      <w:pPr>
        <w:jc w:val="right"/>
        <w:rPr/>
      </w:pP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مرجعية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بالغ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قاصر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jc w:val="right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مشاهدة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والجسدي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6">
      <w:pPr>
        <w:jc w:val="right"/>
        <w:rPr/>
      </w:pPr>
      <w:r w:rsidDel="00000000" w:rsidR="00000000" w:rsidRPr="00000000">
        <w:rPr>
          <w:rtl w:val="1"/>
        </w:rPr>
        <w:t xml:space="preserve">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rtl w:val="1"/>
        </w:rPr>
        <w:t xml:space="preserve">عواقب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المدى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الاعتقاد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ضحايا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يدركون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ويعانون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9">
      <w:pPr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