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الجنائي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بالعنف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سيداو</w:t>
      </w:r>
      <w:r w:rsidDel="00000000" w:rsidR="00000000" w:rsidRPr="00000000">
        <w:rPr>
          <w:rtl w:val="0"/>
        </w:rPr>
        <w:t xml:space="preserve">)،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1979 </w:t>
      </w:r>
      <w:r w:rsidDel="00000000" w:rsidR="00000000" w:rsidRPr="00000000">
        <w:rPr>
          <w:rtl w:val="1"/>
        </w:rPr>
        <w:t xml:space="preserve">وصادقت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0"/>
        </w:rPr>
        <w:t xml:space="preserve">. 132/1985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1"/>
        </w:rPr>
        <w:t xml:space="preserve">الاتفاقية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الاتفاقية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 1950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وصادقت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0"/>
        </w:rPr>
        <w:t xml:space="preserve"> 848/1955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2011، </w:t>
      </w:r>
      <w:r w:rsidDel="00000000" w:rsidR="00000000" w:rsidRPr="00000000">
        <w:rPr>
          <w:rtl w:val="1"/>
        </w:rPr>
        <w:t xml:space="preserve">وصادقت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بالقانون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. 77/2013،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أغسطس</w:t>
      </w:r>
      <w:r w:rsidDel="00000000" w:rsidR="00000000" w:rsidRPr="00000000">
        <w:rPr>
          <w:rtl w:val="1"/>
        </w:rPr>
        <w:t xml:space="preserve"> 2014 (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إسطنبول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مايو</w:t>
      </w:r>
      <w:r w:rsidDel="00000000" w:rsidR="00000000" w:rsidRPr="00000000">
        <w:rPr>
          <w:rtl w:val="0"/>
        </w:rPr>
        <w:t xml:space="preserve"> 2011)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1"/>
        </w:rPr>
        <w:t xml:space="preserve">معاهدة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المادتان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0"/>
        </w:rPr>
        <w:t xml:space="preserve"> 3)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1"/>
        </w:rPr>
        <w:t xml:space="preserve">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21) </w:t>
      </w:r>
      <w:r w:rsidDel="00000000" w:rsidR="00000000" w:rsidRPr="00000000">
        <w:rPr>
          <w:rtl w:val="1"/>
        </w:rPr>
        <w:t xml:space="preserve">ومعاهدة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المتساوية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0"/>
        </w:rPr>
        <w:t xml:space="preserve"> 8)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1"/>
        </w:rPr>
        <w:t xml:space="preserve">التوجيه</w:t>
      </w:r>
      <w:r w:rsidDel="00000000" w:rsidR="00000000" w:rsidRPr="00000000">
        <w:rPr>
          <w:rtl w:val="0"/>
        </w:rPr>
        <w:t xml:space="preserve"> 2012/29/</w:t>
      </w:r>
      <w:r w:rsidDel="00000000" w:rsidR="00000000" w:rsidRPr="00000000">
        <w:rPr>
          <w:rtl w:val="0"/>
        </w:rPr>
        <w:t xml:space="preserve">EU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المؤرخ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أكتوبر</w:t>
      </w:r>
      <w:r w:rsidDel="00000000" w:rsidR="00000000" w:rsidRPr="00000000">
        <w:rPr>
          <w:rtl w:val="1"/>
        </w:rPr>
        <w:t xml:space="preserve"> 2012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تنفذه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0"/>
        </w:rPr>
        <w:t xml:space="preserve"> 212/2015،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يناير</w:t>
      </w:r>
      <w:r w:rsidDel="00000000" w:rsidR="00000000" w:rsidRPr="00000000">
        <w:rPr>
          <w:rtl w:val="1"/>
        </w:rPr>
        <w:t xml:space="preserve"> 2016)،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. 17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18،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تعريفات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66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1996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2001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الأسرية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38/2009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والاضطهادية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المطاردة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 172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2012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الاستغلال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والاعتداء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لانزاروت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والمتعايشين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القاصرين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119/2013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الإناث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4/2018 </w:t>
      </w:r>
      <w:r w:rsidDel="00000000" w:rsidR="00000000" w:rsidRPr="00000000">
        <w:rPr>
          <w:rtl w:val="1"/>
        </w:rPr>
        <w:t xml:space="preserve">تعديلات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1"/>
        </w:rPr>
        <w:t xml:space="preserve">وأحكام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16 </w:t>
      </w:r>
      <w:r w:rsidDel="00000000" w:rsidR="00000000" w:rsidRPr="00000000">
        <w:rPr>
          <w:rtl w:val="1"/>
        </w:rPr>
        <w:t xml:space="preserve">فبراير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69 / 2019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4/2021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190 </w:t>
      </w:r>
      <w:r w:rsidDel="00000000" w:rsidR="00000000" w:rsidRPr="00000000">
        <w:rPr>
          <w:rtl w:val="1"/>
        </w:rPr>
        <w:t xml:space="preserve">لسنة</w:t>
      </w:r>
      <w:r w:rsidDel="00000000" w:rsidR="00000000" w:rsidRPr="00000000">
        <w:rPr>
          <w:rtl w:val="1"/>
        </w:rPr>
        <w:t xml:space="preserve"> 2019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27 </w:t>
      </w:r>
      <w:r w:rsidDel="00000000" w:rsidR="00000000" w:rsidRPr="00000000">
        <w:rPr>
          <w:rtl w:val="1"/>
        </w:rPr>
        <w:t xml:space="preserve">يناير</w:t>
      </w:r>
      <w:r w:rsidDel="00000000" w:rsidR="00000000" w:rsidRPr="00000000">
        <w:rPr>
          <w:rtl w:val="0"/>
        </w:rPr>
        <w:t xml:space="preserve"> 2021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7/2006 "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التناسلية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للإناث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2019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69/2019 </w:t>
      </w:r>
      <w:r w:rsidDel="00000000" w:rsidR="00000000" w:rsidRPr="00000000">
        <w:rPr>
          <w:rtl w:val="1"/>
        </w:rPr>
        <w:t xml:space="preserve">بالرمز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المفعول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لملاحقة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والملاحقة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الضعيفة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والمعاقين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مفاجئ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1"/>
        </w:rPr>
        <w:t xml:space="preserve">المشكلة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نخشى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لإيذاء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1"/>
        </w:rPr>
        <w:t xml:space="preserve">الضرب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1"/>
        </w:rPr>
        <w:t xml:space="preserve">الإصابات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للعواقب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المتكررة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1"/>
        </w:rPr>
        <w:t xml:space="preserve">المتعايش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المدربين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الأوصياء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المتعايشين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572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الجنائي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1"/>
        </w:rPr>
        <w:t xml:space="preserve">وأخيرا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جبر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أفعال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609 </w:t>
      </w: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الجنائي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1"/>
        </w:rPr>
        <w:t xml:space="preserve">الأفعال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للشهوة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للإهانة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الكارابينيري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محامي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متعاشر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1"/>
        </w:rPr>
        <w:t xml:space="preserve">بالضرورة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بشكوى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والمتعايشين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1"/>
        </w:rPr>
        <w:t xml:space="preserve">بمجرد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شكوى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1"/>
        </w:rPr>
        <w:t xml:space="preserve">وتقوم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شفويا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المكتوبة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للجريمة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ايام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الإلزامي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أساسية</w:t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الهويات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1"/>
        </w:rPr>
        <w:t xml:space="preserve">وخلال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بالحقائق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للإدلاء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بشهادتهم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الأحداث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المسئولية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سليمة</w:t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المحاكمة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الأضرار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محام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الدخل</w:t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الاضطهاد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الاستعباد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والدعارة</w:t>
      </w:r>
    </w:p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المسيء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1"/>
        </w:rPr>
        <w:t xml:space="preserve">وسيكون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لمطالبة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متوفرة</w:t>
      </w:r>
    </w:p>
    <w:p w:rsidR="00000000" w:rsidDel="00000000" w:rsidP="00000000" w:rsidRDefault="00000000" w:rsidRPr="00000000" w14:paraId="0000004F">
      <w:pPr>
        <w:jc w:val="right"/>
        <w:rPr/>
      </w:pPr>
      <w:r w:rsidDel="00000000" w:rsidR="00000000" w:rsidRPr="00000000">
        <w:rPr>
          <w:rtl w:val="1"/>
        </w:rPr>
        <w:t xml:space="preserve">صدور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احترازي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0">
      <w:pPr>
        <w:jc w:val="right"/>
        <w:rPr/>
      </w:pPr>
      <w:r w:rsidDel="00000000" w:rsidR="00000000" w:rsidRPr="00000000">
        <w:rPr>
          <w:rtl w:val="1"/>
        </w:rPr>
        <w:t xml:space="preserve">لمنع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الضحايا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معذبيهم</w:t>
      </w:r>
    </w:p>
    <w:p w:rsidR="00000000" w:rsidDel="00000000" w:rsidP="00000000" w:rsidRDefault="00000000" w:rsidRPr="00000000" w14:paraId="00000051">
      <w:pPr>
        <w:jc w:val="right"/>
        <w:rPr/>
      </w:pPr>
      <w:r w:rsidDel="00000000" w:rsidR="00000000" w:rsidRPr="00000000">
        <w:rPr>
          <w:rtl w:val="1"/>
        </w:rPr>
        <w:t xml:space="preserve">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زوجها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يتخذها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حمايته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الاحترازية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4">
      <w:pPr>
        <w:jc w:val="right"/>
        <w:rPr/>
      </w:pPr>
      <w:r w:rsidDel="00000000" w:rsidR="00000000" w:rsidRPr="00000000">
        <w:rPr>
          <w:rtl w:val="1"/>
        </w:rPr>
        <w:t xml:space="preserve">الإبعاد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السقف</w:t>
      </w:r>
    </w:p>
    <w:p w:rsidR="00000000" w:rsidDel="00000000" w:rsidP="00000000" w:rsidRDefault="00000000" w:rsidRPr="00000000" w14:paraId="00000056">
      <w:pPr>
        <w:jc w:val="right"/>
        <w:rPr/>
      </w:pP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</w:p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rtl w:val="1"/>
        </w:rPr>
        <w:t xml:space="preserve">وذكرت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المسيء</w:t>
      </w:r>
    </w:p>
    <w:p w:rsidR="00000000" w:rsidDel="00000000" w:rsidP="00000000" w:rsidRDefault="00000000" w:rsidRPr="00000000" w14:paraId="00000058">
      <w:pPr>
        <w:jc w:val="right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</w:p>
    <w:p w:rsidR="00000000" w:rsidDel="00000000" w:rsidP="00000000" w:rsidRDefault="00000000" w:rsidRPr="00000000" w14:paraId="00000059">
      <w:pPr>
        <w:jc w:val="right"/>
        <w:rPr/>
      </w:pP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الخصوص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</w:p>
    <w:p w:rsidR="00000000" w:rsidDel="00000000" w:rsidP="00000000" w:rsidRDefault="00000000" w:rsidRPr="00000000" w14:paraId="0000005B">
      <w:pPr>
        <w:jc w:val="right"/>
        <w:rPr/>
      </w:pP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الاحترازي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بالتحقيق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jc w:val="right"/>
        <w:rPr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معزولا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يتكرر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E">
      <w:pPr>
        <w:jc w:val="right"/>
        <w:rPr/>
      </w:pP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</w:p>
    <w:p w:rsidR="00000000" w:rsidDel="00000000" w:rsidP="00000000" w:rsidRDefault="00000000" w:rsidRPr="00000000" w14:paraId="0000005F">
      <w:pPr>
        <w:jc w:val="right"/>
        <w:rPr/>
      </w:pP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387 </w:t>
      </w: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العقوبات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tl w:val="1"/>
        </w:rPr>
        <w:t xml:space="preserve">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</w:p>
    <w:p w:rsidR="00000000" w:rsidDel="00000000" w:rsidP="00000000" w:rsidRDefault="00000000" w:rsidRPr="00000000" w14:paraId="00000061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