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1"/>
        </w:rPr>
        <w:t xml:space="preserve">تدابير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دعونا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ويتمثل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«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1"/>
        </w:rPr>
        <w:t xml:space="preserve">الجسدية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بغض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1"/>
        </w:rPr>
        <w:t xml:space="preserve">نحدد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ويمثل</w:t>
      </w:r>
      <w:r w:rsidDel="00000000" w:rsidR="00000000" w:rsidRPr="00000000">
        <w:rPr>
          <w:rtl w:val="1"/>
        </w:rPr>
        <w:t xml:space="preserve"> «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الخصوص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بصفتها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متناسب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ليمثل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1"/>
        </w:rPr>
        <w:t xml:space="preserve">دعونا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السلوكيات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العنيف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1"/>
        </w:rPr>
        <w:t xml:space="preserve">تكرار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بالقاصرين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1"/>
        </w:rPr>
        <w:t xml:space="preserve">وبالتالي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السلوكيات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القاصرين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يسمى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المشهود</w:t>
      </w:r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1"/>
        </w:rPr>
        <w:t xml:space="preserve">بعيد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​​</w:t>
      </w:r>
      <w:r w:rsidDel="00000000" w:rsidR="00000000" w:rsidRPr="00000000">
        <w:rPr>
          <w:rtl w:val="1"/>
        </w:rPr>
        <w:t xml:space="preserve">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الإساءة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الاطفال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الأحفاد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الأجداد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1"/>
        </w:rPr>
        <w:t xml:space="preserve">نسمع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أخبار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يمتنعن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التصورات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خاطئة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وخطيرة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1"/>
        </w:rPr>
        <w:t xml:space="preserve">وكثيرا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جدوى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وتسليط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المرتكبة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السلطات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مغلوطة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بالإحباط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والعجز</w: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الضحايا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اقنعن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الإبلاغ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1"/>
        </w:rPr>
        <w:t xml:space="preserve">الإعلام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النطاق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المواطنة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1"/>
        </w:rPr>
        <w:t xml:space="preserve">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المستشفى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للضحايا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التوجيهات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والمعلومات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1"/>
        </w:rPr>
        <w:t xml:space="preserve">أبسط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0"/>
        </w:rPr>
        <w:t xml:space="preserve"> ؟</w: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                                     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الأسطورة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لاجدوى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".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اللجوء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1"/>
        </w:rPr>
        <w:t xml:space="preserve">وأخيرا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ارتكاب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واكتشافها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1"/>
        </w:rPr>
        <w:t xml:space="preserve">محددة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الإجرامي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التنظيمي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لمقاطعة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1"/>
        </w:rPr>
        <w:t xml:space="preserve">دورة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عاجلا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عنيف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دعونا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الإصلاح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بواسطة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0"/>
        </w:rPr>
        <w:t xml:space="preserve">. 342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1"/>
        </w:rPr>
        <w:t xml:space="preserve">مكرر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وثالث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وإدخاله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الانضباط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473 </w:t>
      </w:r>
      <w:r w:rsidDel="00000000" w:rsidR="00000000" w:rsidRPr="00000000">
        <w:rPr>
          <w:rtl w:val="1"/>
        </w:rPr>
        <w:t xml:space="preserve">مكرر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. 69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يليها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CPC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للانفصال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الطلاق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أطفال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المولودين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لأزواج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متزوجين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زعم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عنيف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التفضيلي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1"/>
        </w:rPr>
        <w:t xml:space="preserve">تقصير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الإجرائية</w:t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1"/>
        </w:rPr>
        <w:t xml:space="preserve">إسناد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للقاضي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المدرسين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وغيرهم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ليسمح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للقاضي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التحقيق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الدؤوب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1"/>
        </w:rPr>
        <w:t xml:space="preserve">افتراض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المؤقتة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والعاجلة</w:t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الإصلاح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 "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توقع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التنبيه</w:t>
      </w:r>
      <w:r w:rsidDel="00000000" w:rsidR="00000000" w:rsidRPr="00000000">
        <w:rPr>
          <w:rtl w:val="0"/>
        </w:rPr>
        <w:t xml:space="preserve"> - </w:t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تفضيلي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للدعاوى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بادعاءات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0"/>
        </w:rPr>
        <w:t xml:space="preserve">- </w:t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</w:t>
      </w:r>
      <w:r w:rsidDel="00000000" w:rsidR="00000000" w:rsidRPr="00000000">
        <w:rPr>
          <w:rtl w:val="0"/>
        </w:rPr>
        <w:t xml:space="preserve"> - </w:t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تخصيص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للقاضي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المدربين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وغيرهم</w:t>
      </w:r>
      <w:r w:rsidDel="00000000" w:rsidR="00000000" w:rsidRPr="00000000">
        <w:rPr>
          <w:rtl w:val="0"/>
        </w:rPr>
        <w:t xml:space="preserve">) - </w:t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33">
      <w:pPr>
        <w:jc w:val="right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تسأل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تحصل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right"/>
        <w:rPr/>
      </w:pP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</w:p>
    <w:p w:rsidR="00000000" w:rsidDel="00000000" w:rsidP="00000000" w:rsidRDefault="00000000" w:rsidRPr="00000000" w14:paraId="00000035">
      <w:pPr>
        <w:jc w:val="right"/>
        <w:rPr/>
      </w:pPr>
      <w:r w:rsidDel="00000000" w:rsidR="00000000" w:rsidRPr="00000000">
        <w:rPr>
          <w:rtl w:val="1"/>
        </w:rPr>
        <w:t xml:space="preserve">افتراض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الزوج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36">
      <w:pPr>
        <w:jc w:val="right"/>
        <w:rPr/>
      </w:pPr>
      <w:r w:rsidDel="00000000" w:rsidR="00000000" w:rsidRPr="00000000">
        <w:rPr>
          <w:rtl w:val="1"/>
        </w:rPr>
        <w:t xml:space="preserve">المتعايش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uxorio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المتعايش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المتزوجين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المتعايشين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1"/>
        </w:rPr>
        <w:t xml:space="preserve">الآباء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المتعايشين</w:t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1"/>
        </w:rPr>
        <w:t xml:space="preserve">سببا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0"/>
        </w:rPr>
        <w:t xml:space="preserve"> 473</w:t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70 </w:t>
      </w:r>
      <w:r w:rsidDel="00000000" w:rsidR="00000000" w:rsidRPr="00000000">
        <w:rPr>
          <w:rtl w:val="1"/>
        </w:rPr>
        <w:t xml:space="preserve">مكرر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افتراض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شرطا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ضروريا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استيفاء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الاحترازية</w:t>
      </w:r>
    </w:p>
    <w:p w:rsidR="00000000" w:rsidDel="00000000" w:rsidP="00000000" w:rsidRDefault="00000000" w:rsidRPr="00000000" w14:paraId="0000003B">
      <w:pPr>
        <w:jc w:val="right"/>
        <w:rPr/>
      </w:pP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المعاشرة</w:t>
      </w:r>
      <w:r w:rsidDel="00000000" w:rsidR="00000000" w:rsidRPr="00000000">
        <w:rPr>
          <w:rtl w:val="1"/>
        </w:rPr>
        <w:t xml:space="preserve">": </w:t>
      </w:r>
      <w:r w:rsidDel="00000000" w:rsidR="00000000" w:rsidRPr="00000000">
        <w:rPr>
          <w:rtl w:val="1"/>
        </w:rPr>
        <w:t xml:space="preserve">عنصر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الافتراضات</w:t>
      </w:r>
    </w:p>
    <w:p w:rsidR="00000000" w:rsidDel="00000000" w:rsidP="00000000" w:rsidRDefault="00000000" w:rsidRPr="00000000" w14:paraId="0000003C">
      <w:pPr>
        <w:jc w:val="right"/>
        <w:rPr/>
      </w:pPr>
      <w:r w:rsidDel="00000000" w:rsidR="00000000" w:rsidRPr="00000000">
        <w:rPr>
          <w:rtl w:val="1"/>
        </w:rPr>
        <w:t xml:space="preserve">أوامر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D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الحفلة</w:t>
      </w:r>
    </w:p>
    <w:p w:rsidR="00000000" w:rsidDel="00000000" w:rsidP="00000000" w:rsidRDefault="00000000" w:rsidRPr="00000000" w14:paraId="0000003E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1"/>
        </w:rPr>
        <w:t xml:space="preserve">الإضرار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بالحرية</w:t>
      </w:r>
      <w:r w:rsidDel="00000000" w:rsidR="00000000" w:rsidRPr="00000000">
        <w:rPr>
          <w:rtl w:val="0"/>
        </w:rPr>
        <w:t xml:space="preserve">؛</w:t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1"/>
        </w:rPr>
        <w:t xml:space="preserve">المعاشرة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CONVIVENZA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الزوج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المتعايش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uxorio</w:t>
      </w:r>
      <w:r w:rsidDel="00000000" w:rsidR="00000000" w:rsidRPr="00000000">
        <w:rPr>
          <w:rtl w:val="0"/>
        </w:rPr>
        <w:t xml:space="preserve">، </w:t>
      </w:r>
      <w:r w:rsidDel="00000000" w:rsidR="00000000" w:rsidRPr="00000000">
        <w:rPr>
          <w:rtl w:val="1"/>
        </w:rPr>
        <w:t xml:space="preserve">متحد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مدني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40">
      <w:pPr>
        <w:jc w:val="right"/>
        <w:rPr/>
      </w:pPr>
      <w:r w:rsidDel="00000000" w:rsidR="00000000" w:rsidRPr="00000000">
        <w:rPr>
          <w:rtl w:val="1"/>
        </w:rPr>
        <w:t xml:space="preserve">المتعايشين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الوالدين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الأطفال</w:t>
      </w:r>
    </w:p>
    <w:p w:rsidR="00000000" w:rsidDel="00000000" w:rsidP="00000000" w:rsidRDefault="00000000" w:rsidRPr="00000000" w14:paraId="00000041">
      <w:pPr>
        <w:jc w:val="right"/>
        <w:rPr/>
      </w:pP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الإصلاح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باوامر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الجدارة</w:t>
      </w:r>
    </w:p>
    <w:p w:rsidR="00000000" w:rsidDel="00000000" w:rsidP="00000000" w:rsidRDefault="00000000" w:rsidRPr="00000000" w14:paraId="00000042">
      <w:pPr>
        <w:jc w:val="right"/>
        <w:rPr/>
      </w:pPr>
      <w:r w:rsidDel="00000000" w:rsidR="00000000" w:rsidRPr="00000000">
        <w:rPr>
          <w:rtl w:val="1"/>
        </w:rPr>
        <w:t xml:space="preserve">وتجد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دخولا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كاملا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ومشروع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الجدارة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43">
      <w:pPr>
        <w:jc w:val="right"/>
        <w:rPr/>
      </w:pP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زعم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عنف</w:t>
      </w:r>
      <w:r w:rsidDel="00000000" w:rsidR="00000000" w:rsidRPr="00000000">
        <w:rPr>
          <w:rtl w:val="0"/>
        </w:rPr>
        <w:t xml:space="preserve">،</w:t>
      </w:r>
    </w:p>
    <w:p w:rsidR="00000000" w:rsidDel="00000000" w:rsidP="00000000" w:rsidRDefault="00000000" w:rsidRPr="00000000" w14:paraId="00000044">
      <w:pPr>
        <w:jc w:val="right"/>
        <w:rPr/>
      </w:pPr>
      <w:r w:rsidDel="00000000" w:rsidR="00000000" w:rsidRPr="00000000">
        <w:rPr>
          <w:rtl w:val="1"/>
        </w:rPr>
        <w:t xml:space="preserve">إصدار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والضحية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</w:p>
    <w:p w:rsidR="00000000" w:rsidDel="00000000" w:rsidP="00000000" w:rsidRDefault="00000000" w:rsidRPr="00000000" w14:paraId="00000045">
      <w:pPr>
        <w:jc w:val="right"/>
        <w:rPr/>
      </w:pPr>
      <w:r w:rsidDel="00000000" w:rsidR="00000000" w:rsidRPr="00000000">
        <w:rPr>
          <w:rtl w:val="1"/>
        </w:rPr>
        <w:t xml:space="preserve">التدابير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. 473-</w:t>
      </w:r>
      <w:r w:rsidDel="00000000" w:rsidR="00000000" w:rsidRPr="00000000">
        <w:rPr>
          <w:rtl w:val="1"/>
        </w:rPr>
        <w:t xml:space="preserve">مكرر</w:t>
      </w:r>
      <w:r w:rsidDel="00000000" w:rsidR="00000000" w:rsidRPr="00000000">
        <w:rPr>
          <w:rtl w:val="0"/>
        </w:rPr>
        <w:t xml:space="preserve">.70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أوامر</w:t>
      </w:r>
    </w:p>
    <w:p w:rsidR="00000000" w:rsidDel="00000000" w:rsidP="00000000" w:rsidRDefault="00000000" w:rsidRPr="00000000" w14:paraId="00000046">
      <w:pPr>
        <w:jc w:val="right"/>
        <w:rPr/>
      </w:pP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بالفعل</w:t>
      </w:r>
    </w:p>
    <w:p w:rsidR="00000000" w:rsidDel="00000000" w:rsidP="00000000" w:rsidRDefault="00000000" w:rsidRPr="00000000" w14:paraId="00000047">
      <w:pPr>
        <w:jc w:val="right"/>
        <w:rPr/>
      </w:pP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الاستئناف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</w:p>
    <w:p w:rsidR="00000000" w:rsidDel="00000000" w:rsidP="00000000" w:rsidRDefault="00000000" w:rsidRPr="00000000" w14:paraId="00000048">
      <w:pPr>
        <w:jc w:val="right"/>
        <w:rPr/>
      </w:pP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معالجة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الجدارية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انفصال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طلاق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</w:p>
    <w:p w:rsidR="00000000" w:rsidDel="00000000" w:rsidP="00000000" w:rsidRDefault="00000000" w:rsidRPr="00000000" w14:paraId="00000049">
      <w:pPr>
        <w:jc w:val="right"/>
        <w:rPr/>
      </w:pP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القاصرين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المولودين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لزوجين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متزوجين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</w:p>
    <w:p w:rsidR="00000000" w:rsidDel="00000000" w:rsidP="00000000" w:rsidRDefault="00000000" w:rsidRPr="00000000" w14:paraId="0000004A">
      <w:pPr>
        <w:jc w:val="right"/>
        <w:rPr/>
      </w:pP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الاحتياط</w:t>
      </w:r>
    </w:p>
    <w:p w:rsidR="00000000" w:rsidDel="00000000" w:rsidP="00000000" w:rsidRDefault="00000000" w:rsidRPr="00000000" w14:paraId="0000004B">
      <w:pPr>
        <w:jc w:val="right"/>
        <w:rPr/>
      </w:pP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التحقيق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C">
      <w:pPr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