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tLeast" w:line="540" w:before="600" w:after="300"/>
        <w:rPr>
          <w:color w:val="0C2C4E"/>
          <w:sz w:val="54"/>
          <w:szCs w:val="54"/>
          <w:rFonts w:ascii="Titillium Web Semibold" w:eastAsia="Times New Roman" w:hAnsi="Titillium Web Semibold" w:cs="Times New Roman"/>
        </w:rPr>
        <w:outlineLvl w:val="0"/>
      </w:pPr>
      <w:r>
        <w:rPr>
          <w:color w:val="0C2C4E"/>
          <w:sz w:val="54"/>
          <w:szCs w:val="54"/>
          <w:rFonts w:ascii="Titillium Web Semibold" w:eastAsia="Times New Roman" w:hAnsi="Titillium Web Semibold" w:cs="Times New Roman"/>
          <w:lang w:val="it-IT"/>
        </w:rPr>
        <w:t xml:space="preserve">VIOLENŢA ÎMPOTRIVA FEMEILOR - </w:t>
      </w:r>
      <w:r>
        <w:rPr>
          <w:color w:val="0C2C4E"/>
          <w:sz w:val="54"/>
          <w:szCs w:val="54"/>
          <w:rFonts w:ascii="Titillium Web Semibold" w:eastAsia="Times New Roman" w:hAnsi="Titillium Web Semibold" w:cs="Times New Roman"/>
          <w:lang w:val="it-IT"/>
        </w:rPr>
        <w:t xml:space="preserve">Informaţii utile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C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  <w:lang w:val="it-IT"/>
        </w:rPr>
        <w:t xml:space="preserve">e este?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Din Convenția de la Istanbul (2011)</w:t>
      </w:r>
      <w:r>
        <w:rPr>
          <w:color w:val="29353D"/>
          <w:sz w:val="24"/>
          <w:szCs w:val="24"/>
          <w:rFonts w:ascii="Titillium Web" w:eastAsia="Times New Roman" w:hAnsi="Titillium Web" w:cs="Times New Roman"/>
        </w:rPr>
        <w:t>: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1.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cu expresia "violenţa împotriva femeilor" se are in vedere o încălcare a drepturilor omului şi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discriminarea împotriva femeilor, care include toate actele de violență bazate pe gen care cauzează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sau sunt susceptibile de a provoca vătămări sau suferințe de natură fizică, sexuală, psihologică sau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economică, inclusiv amenințări cu astfel de acte, constrângerea sau privarea arbitrară de libertate,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atât în viața publică, cât și în cea privată;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 xml:space="preserve">2.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expresia "violenţă domestică" înseamnă toate actele de violenţă fizică, sexuală, psihologică sau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economică care au loc în familie sau în nucleul familial sau între actualii sau foştii soţi sau parteneri,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independent de faptul dacă autorul unor astfel de acte împarte sau a împărțit aceeași reședință cu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>victima;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 xml:space="preserve">3.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termenul "genul" se referă la roluri, comportamente, activități și atribute construite social pe care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o anumită societate le consideră adecvate pentru femei și bărbați;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 xml:space="preserve">4.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expresia "violenţa  împotriva femeilor bazată pe gen " înseamnă orice violenţă îndreptată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împotriva unei femei sau care afectează în mod disproporţionat femeile;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5.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prin "victimă" se are în vedere orice persoană fizică care suferă actele sau comportamentele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menționate la punctele 1 și 2 de mai sus; cu termenul "femeie"  se are în vedere, de asemenea, fete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sub vârsta de 18 ani.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highlight w:val="red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 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VIOLEN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ŢĂ</w:t>
      </w:r>
      <w:r>
        <w:rPr>
          <w:color w:val="29353D"/>
          <w:sz w:val="33"/>
          <w:szCs w:val="33"/>
          <w:shd w:val="clear" w:color="000000" w:fill="EF7835"/>
          <w:rFonts w:ascii="Arial" w:eastAsia="Arial" w:hAnsi="Arial" w:cs="Arial"/>
          <w:lang w:val="it-IT"/>
        </w:rPr>
        <w:t xml:space="preserve"> D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OMESTIC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Ă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Violența domestică sau violența în cuplu este o combinație de violență economică, fizică,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psihologică sau sexuală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care coexistă sau se urmează reciproc într-o spirală (Baldry, 2008).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 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VIOLEN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ŢĂ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 PSICOLOGIC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Ă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 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>Include: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• atitudinile intimidante, amenințătoare, hărțuitoare și denigratoare din partea partenerului, și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• tactici de izolare de prietenii, rude, locuri, obiceiuri.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Poate provoca un proces de distrugere morală reală care poate duce femeile la pierderea STIMEI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DE SINE.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 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VIOLEN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ŢĂ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 FI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  <w:lang w:val="it-IT"/>
        </w:rPr>
        <w:t>Z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IC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Ă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 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Utilizarea oricărui act care vizează rănirea sau sperierea victimei și, în majoritatea cazurilor,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provoacă vătămări și în general daune fizice cauzate nu accidental și prin diferite mijloace 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Agresiunea fizică nu este doar o acțiune violentă, ci și orice contact sau abordare fizică pentru a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speria și intimida victima.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 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VIOLEN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ŢĂ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 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  <w:lang w:val="it-IT"/>
        </w:rPr>
        <w:t>SEXUAL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Ă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Violenţa sexuală este o crimă comisă de cei care îşi folosesc forţa, autoritatea sau un mijloc de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asuprire prin forţarea actelor, abuz sau amenințări (explicite sau implicite) de a comite sau suferi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acte sexuale împotriva voinței.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VIOLEN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ŢĂ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 ECONOMIC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Ă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Atitudini care vizează prevenirea partenerului de a fi independent din punct de vedere economic cu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scopul de a-l putea controla.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De exemplu</w:t>
      </w:r>
      <w:r>
        <w:rPr>
          <w:color w:val="29353D"/>
          <w:sz w:val="24"/>
          <w:szCs w:val="24"/>
          <w:rFonts w:ascii="Titillium Web" w:eastAsia="Times New Roman" w:hAnsi="Titillium Web" w:cs="Times New Roman"/>
        </w:rPr>
        <w:t>:</w:t>
      </w:r>
    </w:p>
    <w:p>
      <w:pPr>
        <w:numPr>
          <w:ilvl w:val="0"/>
          <w:numId w:val="1"/>
        </w:numPr>
        <w:shd w:val="clear" w:color="000000" w:fill="FFFFFF"/>
        <w:spacing w:lineRule="auto" w:line="240" w:before="100" w:beforeAutospacing="1" w:afterAutospacing="1" w:after="10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împiedicarea căutarii  unei munci</w:t>
      </w:r>
    </w:p>
    <w:p>
      <w:pPr>
        <w:numPr>
          <w:ilvl w:val="0"/>
          <w:numId w:val="1"/>
        </w:numPr>
        <w:shd w:val="clear" w:color="000000" w:fill="FFFFFF"/>
        <w:spacing w:lineRule="auto" w:line="240" w:before="100" w:beforeAutospacing="1" w:afterAutospacing="1" w:after="10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privarea sau controlul salariului</w:t>
      </w:r>
      <w:r>
        <w:rPr>
          <w:color w:val="29353D"/>
          <w:sz w:val="24"/>
          <w:szCs w:val="24"/>
          <w:rFonts w:ascii="Titillium Web" w:eastAsia="Times New Roman" w:hAnsi="Titillium Web" w:cs="Times New Roman"/>
        </w:rPr>
        <w:t>,</w:t>
      </w:r>
    </w:p>
    <w:p>
      <w:pPr>
        <w:numPr>
          <w:ilvl w:val="0"/>
          <w:numId w:val="1"/>
        </w:numPr>
        <w:shd w:val="clear" w:color="000000" w:fill="FFFFFF"/>
        <w:spacing w:lineRule="auto" w:line="240" w:before="100" w:beforeAutospacing="1" w:afterAutospacing="1" w:after="10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controlul managementului economic în viața cotidiană 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 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STALKING (A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  <w:lang w:val="it-IT"/>
        </w:rPr>
        <w:t xml:space="preserve">CTE 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PERSECU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  <w:lang w:val="it-IT"/>
        </w:rPr>
        <w:t>TIVE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)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Se referă la o serie de acte persecutorii repetate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care generează în victimă o stare de anxietate și frică atât de puternică încât o forțează să-și schimbe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obiceiurile de viață. 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Pot fi: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apeluri telefonice continue, mesaje, bilețele, scrisori, pândă, cereri de întîlnire, cadouri nedorite, etc..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Atunci când are loc o persecuție prin utilizarea internetului, a e-mailului, a rețelelor sociale etc. este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vorba de cyberstalking.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</w:rPr>
        <w:t> 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  <w:lang w:val="it-IT"/>
        </w:rPr>
      </w:pP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>VIOLEN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>ŢĂ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</w:rPr>
        <w:t xml:space="preserve"> </w:t>
      </w:r>
      <w:r>
        <w:rPr>
          <w:color w:val="29353D"/>
          <w:sz w:val="33"/>
          <w:szCs w:val="33"/>
          <w:shd w:val="clear" w:color="000000" w:fill="EF7835"/>
          <w:rFonts w:ascii="Titillium Web" w:eastAsia="Times New Roman" w:hAnsi="Titillium Web" w:cs="Times New Roman"/>
          <w:lang w:val="it-IT"/>
        </w:rPr>
        <w:t>ASISTAT</w:t>
      </w:r>
      <w:r>
        <w:rPr>
          <w:color w:val="29353D"/>
          <w:sz w:val="32"/>
          <w:szCs w:val="32"/>
          <w:shd w:val="clear" w:color="000000" w:fill="EF7835"/>
          <w:rFonts w:ascii="Arial" w:eastAsia="Arial" w:hAnsi="Arial" w:cs="Arial"/>
          <w:lang w:val="it-IT"/>
        </w:rPr>
        <w:t xml:space="preserve">Ă 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Se verifică atunci când copiii și minorii sunt martorii unui comportament violent, de orice fel, față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de o figură de referință, adultă sau minoră.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Asistarea la violență poate genera o serie de simptome psihofizice care includ tulburări de somn sau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de alimentație, precum și traume psihologice, cu consecințe importante pe termen scurt și lung.</w:t>
      </w:r>
    </w:p>
    <w:p>
      <w:pPr>
        <w:jc w:val="both"/>
        <w:shd w:val="clear" w:color="000000" w:fill="FFFFFF"/>
        <w:spacing w:lineRule="auto" w:line="240" w:after="150"/>
        <w:rPr>
          <w:color w:val="29353D"/>
          <w:sz w:val="24"/>
          <w:szCs w:val="24"/>
          <w:rFonts w:ascii="Titillium Web" w:eastAsia="Times New Roman" w:hAnsi="Titillium Web" w:cs="Times New Roman"/>
        </w:rPr>
      </w:pP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Tindem să credem că copiii foarte mici nu pot fi victime pentru că nu sunt încă capabili să înțeleagă: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în realitate, și ei percep și suferă climatul de tensiune și frică care este stabilit în casă și care își </w:t>
      </w:r>
      <w:r>
        <w:rPr>
          <w:color w:val="29353D"/>
          <w:sz w:val="24"/>
          <w:szCs w:val="24"/>
          <w:rFonts w:ascii="Titillium Web" w:eastAsia="Times New Roman" w:hAnsi="Titillium Web" w:cs="Times New Roman"/>
          <w:lang w:val="it-IT"/>
        </w:rPr>
        <w:t xml:space="preserve">trăiește propria mamă. </w:t>
      </w:r>
    </w:p>
    <w:p>
      <w:pPr>
        <w:rPr/>
      </w:pPr>
    </w:p>
    <w:sectPr>
      <w15:footnoteColumns w:val="1"/>
      <w:pgSz w:w="11906" w:h="16838"/>
      <w:pgMar w:top="1417" w:left="1134" w:bottom="1134" w:right="1134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Titillium Web Semibold">
    <w:altName w:val="Times New Roman"/>
    <w:panose1 w:val="00000000000000000000"/>
    <w:charset w:val="0"/>
    <w:family w:val="roman"/>
    <w:pitch w:val="default"/>
    <w:sig w:usb0="00000000" w:usb1="00000000" w:usb2="00000000" w:usb3="00000000" w:csb0="00000000" w:csb1="00000000"/>
  </w:font>
  <w:font w:name="Titillium Web">
    <w:altName w:val="Times New Roman"/>
    <w:panose1 w:val="00000000000000000000"/>
    <w:charset w:val="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20A5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1F002918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1F0023F8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1F000864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EastAsia" w:hAnsiTheme="minorHAnsi" w:cstheme="minorBidi"/>
        <w:lang w:bidi="ar-SA" w:eastAsia="it-IT" w:val="it-IT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link w:val="PO151"/>
    <w:qFormat/>
    <w:uiPriority w:val="7"/>
    <w:pPr>
      <w:spacing w:lineRule="auto" w:line="240" w:before="100" w:beforeAutospacing="1" w:afterAutospacing="1" w:after="100"/>
      <w:rPr/>
      <w:outlineLvl w:val="0"/>
    </w:pPr>
    <w:rPr>
      <w:b w:val="1"/>
      <w:sz w:val="48"/>
      <w:szCs w:val="48"/>
      <w:rFonts w:ascii="Times New Roman" w:eastAsia="Times New Roman" w:hAnsi="Times New Roman" w:cs="Times New Roman"/>
    </w:rPr>
  </w:style>
  <w:style w:customStyle="1" w:styleId="PO151" w:type="character">
    <w:name w:val="Titolo 1 Carattere"/>
    <w:basedOn w:val="PO2"/>
    <w:link w:val="PO7"/>
    <w:uiPriority w:val="151"/>
    <w:rPr>
      <w:b w:val="1"/>
      <w:sz w:val="48"/>
      <w:szCs w:val="48"/>
      <w:rFonts w:ascii="Times New Roman" w:eastAsia="Times New Roman" w:hAnsi="Times New Roman" w:cs="Times New Roman"/>
    </w:rPr>
  </w:style>
  <w:style w:styleId="PO152" w:type="paragraph">
    <w:name w:val="Normal (Web)"/>
    <w:basedOn w:val="PO1"/>
    <w:uiPriority w:val="152"/>
    <w:semiHidden/>
    <w:unhideWhenUsed/>
    <w:pPr>
      <w:spacing w:lineRule="auto" w:line="240" w:before="100" w:beforeAutospacing="1" w:afterAutospacing="1" w:after="100"/>
      <w:rPr/>
    </w:pPr>
    <w:rPr>
      <w:sz w:val="24"/>
      <w:szCs w:val="24"/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i Offic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28</Lines>
  <LinksUpToDate>false</LinksUpToDate>
  <Pages>2</Pages>
  <Paragraphs>8</Paragraphs>
  <Words>608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Utente</dc:creator>
  <cp:lastModifiedBy>Rodica Inculet</cp:lastModifiedBy>
  <cp:version>9.101.16.39231</cp:version>
  <dcterms:modified xsi:type="dcterms:W3CDTF">2023-11-08T10:08:00Z</dcterms:modified>
</cp:coreProperties>
</file>